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5C4114">
        <w:rPr>
          <w:rFonts w:ascii="Arial" w:eastAsia="宋体" w:hAnsi="Arial" w:cs="Arial"/>
          <w:b/>
          <w:sz w:val="24"/>
          <w:lang w:val="en-GB" w:eastAsia="ko-KR"/>
        </w:rPr>
        <w:t>7</w:t>
      </w:r>
      <w:r w:rsidRPr="00B40311">
        <w:rPr>
          <w:rFonts w:ascii="Arial" w:eastAsia="宋体" w:hAnsi="Arial" w:cs="Arial"/>
          <w:b/>
          <w:sz w:val="24"/>
          <w:lang w:val="en-GB" w:eastAsia="ko-KR"/>
        </w:rPr>
        <w:t xml:space="preserve"> </w:t>
      </w:r>
      <w:r w:rsidR="00185C2B">
        <w:rPr>
          <w:rFonts w:ascii="Arial" w:eastAsia="宋体" w:hAnsi="Arial" w:cs="Arial"/>
          <w:b/>
          <w:sz w:val="24"/>
          <w:lang w:val="en-GB" w:eastAsia="ko-KR"/>
        </w:rPr>
        <w:tab/>
      </w:r>
      <w:r w:rsidR="005C4114">
        <w:rPr>
          <w:rFonts w:ascii="Arial" w:eastAsia="宋体" w:hAnsi="Arial" w:cs="Arial"/>
          <w:b/>
          <w:sz w:val="24"/>
          <w:lang w:val="en-GB" w:eastAsia="ko-KR"/>
        </w:rPr>
        <w:tab/>
      </w:r>
      <w:r w:rsidR="00717E1B" w:rsidRPr="00717E1B">
        <w:rPr>
          <w:rFonts w:ascii="Arial" w:eastAsia="宋体" w:hAnsi="Arial" w:cs="Arial"/>
          <w:b/>
          <w:sz w:val="24"/>
          <w:lang w:val="en-GB" w:eastAsia="ko-KR"/>
        </w:rPr>
        <w:t>R4-2</w:t>
      </w:r>
      <w:r w:rsidR="00EC01FF">
        <w:rPr>
          <w:rFonts w:ascii="Arial" w:eastAsia="宋体" w:hAnsi="Arial" w:cs="Arial"/>
          <w:b/>
          <w:sz w:val="24"/>
          <w:lang w:val="en-GB" w:eastAsia="ko-KR"/>
        </w:rPr>
        <w:t>30</w:t>
      </w:r>
      <w:r w:rsidR="001B0585">
        <w:rPr>
          <w:rFonts w:ascii="Arial" w:eastAsia="宋体" w:hAnsi="Arial" w:cs="Arial"/>
          <w:b/>
          <w:sz w:val="24"/>
          <w:lang w:val="en-GB" w:eastAsia="ko-KR"/>
        </w:rPr>
        <w:t>7947</w:t>
      </w:r>
    </w:p>
    <w:p w:rsidR="00A44F96" w:rsidRPr="00B40311" w:rsidRDefault="005C4114"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Incheon, KR,</w:t>
      </w:r>
      <w:r w:rsidRPr="00902E98">
        <w:rPr>
          <w:rFonts w:ascii="Arial" w:eastAsia="宋体" w:hAnsi="Arial" w:cs="Arial"/>
          <w:b/>
          <w:sz w:val="24"/>
          <w:lang w:val="en-GB" w:eastAsia="ko-KR"/>
        </w:rPr>
        <w:t xml:space="preserve"> </w:t>
      </w:r>
      <w:r>
        <w:rPr>
          <w:rFonts w:ascii="Arial" w:eastAsia="宋体" w:hAnsi="Arial" w:cs="Arial"/>
          <w:b/>
          <w:sz w:val="24"/>
          <w:lang w:val="en-GB" w:eastAsia="ko-KR"/>
        </w:rPr>
        <w:t>22</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032FD" w:rsidRPr="00C032FD">
        <w:rPr>
          <w:rFonts w:ascii="Arial" w:eastAsia="宋体" w:hAnsi="Arial" w:cs="Arial"/>
          <w:b/>
          <w:sz w:val="24"/>
          <w:lang w:val="en-GB" w:eastAsia="ko-KR"/>
        </w:rPr>
        <w:t>RRM requirement</w:t>
      </w:r>
      <w:r w:rsidR="00C032FD">
        <w:rPr>
          <w:rFonts w:ascii="Arial" w:eastAsia="宋体" w:hAnsi="Arial" w:cs="Arial" w:hint="eastAsia"/>
          <w:b/>
          <w:sz w:val="24"/>
          <w:lang w:val="en-GB"/>
        </w:rPr>
        <w:t>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on of</w:t>
      </w:r>
      <w:r w:rsidR="00F855B9" w:rsidRPr="00F855B9">
        <w:rPr>
          <w:rFonts w:ascii="Arial" w:eastAsia="宋体" w:hAnsi="Arial" w:cs="Arial"/>
          <w:b/>
          <w:sz w:val="24"/>
          <w:lang w:val="en-GB" w:eastAsia="ko-KR"/>
        </w:rPr>
        <w:t xml:space="preserve"> </w:t>
      </w:r>
      <w:r w:rsidR="00E1291C">
        <w:rPr>
          <w:rFonts w:ascii="Arial" w:eastAsia="宋体" w:hAnsi="Arial" w:cs="Arial"/>
          <w:b/>
          <w:sz w:val="24"/>
          <w:lang w:val="en-GB" w:eastAsia="ko-KR"/>
        </w:rPr>
        <w:t>NCSG</w:t>
      </w:r>
      <w:r w:rsidR="00F855B9">
        <w:rPr>
          <w:rFonts w:ascii="Arial" w:eastAsia="宋体" w:hAnsi="Arial" w:cs="Arial"/>
          <w:b/>
          <w:sz w:val="24"/>
          <w:lang w:val="en-GB" w:eastAsia="ko-KR"/>
        </w:rPr>
        <w:t xml:space="preserve"> </w:t>
      </w:r>
      <w:r w:rsidR="00652D79">
        <w:rPr>
          <w:rFonts w:ascii="Arial" w:eastAsia="宋体" w:hAnsi="Arial" w:cs="Arial"/>
          <w:b/>
          <w:sz w:val="24"/>
          <w:lang w:val="en-GB" w:eastAsia="ko-KR"/>
        </w:rPr>
        <w:t>and concurrent MG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1B0585" w:rsidRPr="001B0585">
        <w:rPr>
          <w:rFonts w:ascii="Arial" w:eastAsia="宋体" w:hAnsi="Arial" w:cs="Arial"/>
          <w:b/>
          <w:sz w:val="24"/>
          <w:lang w:val="en-GB"/>
        </w:rPr>
        <w:t>8</w:t>
      </w:r>
      <w:r w:rsidR="003A4170" w:rsidRPr="001B0585">
        <w:rPr>
          <w:rFonts w:ascii="Arial" w:eastAsia="宋体" w:hAnsi="Arial" w:cs="Arial"/>
          <w:b/>
          <w:sz w:val="24"/>
          <w:lang w:val="en-GB"/>
        </w:rPr>
        <w:t>.1</w:t>
      </w:r>
      <w:r w:rsidR="00C032FD" w:rsidRPr="001B0585">
        <w:rPr>
          <w:rFonts w:ascii="Arial" w:eastAsia="宋体" w:hAnsi="Arial" w:cs="Arial"/>
          <w:b/>
          <w:sz w:val="24"/>
          <w:lang w:val="en-GB"/>
        </w:rPr>
        <w:t>0</w:t>
      </w:r>
      <w:r w:rsidRPr="001B0585">
        <w:rPr>
          <w:rFonts w:ascii="Arial" w:eastAsia="宋体" w:hAnsi="Arial" w:cs="Arial" w:hint="eastAsia"/>
          <w:b/>
          <w:sz w:val="24"/>
          <w:lang w:val="en-GB"/>
        </w:rPr>
        <w:t>.</w:t>
      </w:r>
      <w:r w:rsidRPr="001B0585">
        <w:rPr>
          <w:rFonts w:ascii="Arial" w:eastAsia="宋体" w:hAnsi="Arial" w:cs="Arial"/>
          <w:b/>
          <w:sz w:val="24"/>
          <w:lang w:val="en-GB"/>
        </w:rPr>
        <w:t>2</w:t>
      </w:r>
      <w:r w:rsidR="008215CA" w:rsidRPr="001B0585">
        <w:rPr>
          <w:rFonts w:ascii="Arial" w:eastAsia="宋体" w:hAnsi="Arial" w:cs="Arial"/>
          <w:b/>
          <w:sz w:val="24"/>
          <w:lang w:val="en-GB"/>
        </w:rPr>
        <w:t>.3</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Pr="00A87F64" w:rsidRDefault="007673A6" w:rsidP="00A87F64">
      <w:pPr>
        <w:rPr>
          <w:rFonts w:ascii="Times New Roman" w:hAnsi="Times New Roman" w:cs="Times New Roman"/>
          <w:sz w:val="20"/>
          <w:szCs w:val="20"/>
        </w:rPr>
      </w:pPr>
      <w:r>
        <w:rPr>
          <w:rFonts w:ascii="Times New Roman" w:hAnsi="Times New Roman" w:cs="Times New Roman"/>
          <w:sz w:val="20"/>
          <w:szCs w:val="20"/>
        </w:rPr>
        <w:t>In RAN4#106</w:t>
      </w:r>
      <w:r w:rsidR="005C4114">
        <w:rPr>
          <w:rFonts w:ascii="Times New Roman" w:hAnsi="Times New Roman" w:cs="Times New Roman"/>
          <w:sz w:val="20"/>
          <w:szCs w:val="20"/>
        </w:rPr>
        <w:t>bis-e</w:t>
      </w:r>
      <w:r w:rsidR="00A87F64" w:rsidRPr="00A87F64">
        <w:rPr>
          <w:rFonts w:ascii="Times New Roman" w:hAnsi="Times New Roman" w:cs="Times New Roman"/>
          <w:sz w:val="20"/>
          <w:szCs w:val="20"/>
        </w:rPr>
        <w:t xml:space="preserve"> meeting, RAN4 had some discussion on RRM requirements for</w:t>
      </w:r>
      <w:r w:rsidR="006925E1">
        <w:rPr>
          <w:rFonts w:ascii="Times New Roman" w:hAnsi="Times New Roman" w:cs="Times New Roman"/>
          <w:sz w:val="20"/>
          <w:szCs w:val="20"/>
        </w:rPr>
        <w:t xml:space="preserve"> case 2 when</w:t>
      </w:r>
      <w:r w:rsidR="00A87F64" w:rsidRPr="00A87F64">
        <w:rPr>
          <w:rFonts w:ascii="Times New Roman" w:hAnsi="Times New Roman" w:cs="Times New Roman"/>
          <w:sz w:val="20"/>
          <w:szCs w:val="20"/>
        </w:rPr>
        <w:t xml:space="preserve"> UE</w:t>
      </w:r>
      <w:r w:rsidR="006925E1">
        <w:rPr>
          <w:rFonts w:ascii="Times New Roman" w:hAnsi="Times New Roman" w:cs="Times New Roman"/>
          <w:sz w:val="20"/>
          <w:szCs w:val="20"/>
        </w:rPr>
        <w:t xml:space="preserve"> is</w:t>
      </w:r>
      <w:r w:rsidR="00A87F64" w:rsidRPr="00A87F64">
        <w:rPr>
          <w:rFonts w:ascii="Times New Roman" w:hAnsi="Times New Roman" w:cs="Times New Roman"/>
          <w:sz w:val="20"/>
          <w:szCs w:val="20"/>
        </w:rPr>
        <w:t xml:space="preserve"> configured with a combination of </w:t>
      </w:r>
      <w:r w:rsidR="00A87F64">
        <w:rPr>
          <w:rFonts w:ascii="Times New Roman" w:hAnsi="Times New Roman" w:cs="Times New Roman"/>
          <w:sz w:val="20"/>
          <w:szCs w:val="20"/>
        </w:rPr>
        <w:t>NCSG</w:t>
      </w:r>
      <w:r w:rsidR="00A87F64" w:rsidRPr="00A87F64">
        <w:rPr>
          <w:rFonts w:ascii="Times New Roman" w:hAnsi="Times New Roman" w:cs="Times New Roman"/>
          <w:sz w:val="20"/>
          <w:szCs w:val="20"/>
        </w:rPr>
        <w:t xml:space="preserve"> and concurrent MG, and the related WF was approved in [1]. In this contribution, we would like to discuss the related requirements and provide our proposals.</w:t>
      </w:r>
    </w:p>
    <w:p w:rsidR="00796C18" w:rsidRDefault="000D163E" w:rsidP="00796C18">
      <w:pPr>
        <w:pStyle w:val="1"/>
        <w:numPr>
          <w:ilvl w:val="0"/>
          <w:numId w:val="2"/>
        </w:numPr>
        <w:spacing w:after="0"/>
        <w:ind w:left="0" w:firstLine="0"/>
        <w:rPr>
          <w:rFonts w:eastAsia="Times New Roman" w:cs="Times New Roman"/>
          <w:color w:val="auto"/>
          <w:kern w:val="0"/>
        </w:rPr>
      </w:pPr>
      <w:r w:rsidRPr="00370DBF">
        <w:rPr>
          <w:rFonts w:eastAsia="Times New Roman" w:cs="Times New Roman"/>
          <w:color w:val="auto"/>
          <w:kern w:val="0"/>
        </w:rPr>
        <w:t>Discussion</w:t>
      </w:r>
    </w:p>
    <w:p w:rsidR="00796C18" w:rsidRPr="00D357FD" w:rsidRDefault="003D2B1A" w:rsidP="00D357FD">
      <w:pPr>
        <w:spacing w:after="120"/>
        <w:rPr>
          <w:rFonts w:ascii="Times New Roman" w:hAnsi="Times New Roman" w:cs="Times New Roman"/>
          <w:sz w:val="11"/>
          <w:u w:val="single"/>
          <w:lang w:val="en-GB" w:eastAsia="en-US"/>
        </w:rPr>
      </w:pPr>
      <w:r>
        <w:rPr>
          <w:rFonts w:ascii="Times New Roman" w:hAnsi="Times New Roman" w:cs="Times New Roman"/>
          <w:b/>
          <w:bCs/>
          <w:sz w:val="20"/>
          <w:szCs w:val="24"/>
          <w:u w:val="single"/>
        </w:rPr>
        <w:t>Parallel measurements</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B82D86" w:rsidTr="00796C18">
        <w:trPr>
          <w:trHeight w:val="665"/>
        </w:trPr>
        <w:tc>
          <w:tcPr>
            <w:tcW w:w="8367" w:type="dxa"/>
          </w:tcPr>
          <w:p w:rsidR="00785A7D" w:rsidRPr="001A3696" w:rsidRDefault="00785A7D" w:rsidP="001A3696">
            <w:pPr>
              <w:rPr>
                <w:rFonts w:ascii="Times New Roman" w:hAnsi="Times New Roman" w:cs="Times New Roman"/>
                <w:b/>
                <w:u w:val="single"/>
              </w:rPr>
            </w:pPr>
            <w:r w:rsidRPr="001A3696">
              <w:rPr>
                <w:rFonts w:ascii="Times New Roman" w:hAnsi="Times New Roman" w:cs="Times New Roman"/>
                <w:b/>
                <w:sz w:val="20"/>
                <w:u w:val="single"/>
              </w:rPr>
              <w:t>Issue 4-2-1: [Case 2] Whether to consider parallel measurements upon gap collision</w:t>
            </w:r>
          </w:p>
          <w:p w:rsidR="00785A7D" w:rsidRPr="00785A7D" w:rsidRDefault="00785A7D" w:rsidP="00785A7D">
            <w:pPr>
              <w:spacing w:afterLines="50" w:after="156"/>
              <w:ind w:leftChars="200" w:left="420"/>
              <w:rPr>
                <w:rFonts w:ascii="Times New Roman" w:hAnsi="Times New Roman" w:cs="Times New Roman"/>
                <w:sz w:val="20"/>
                <w:szCs w:val="20"/>
              </w:rPr>
            </w:pPr>
            <w:r w:rsidRPr="00785A7D">
              <w:rPr>
                <w:rFonts w:ascii="Times New Roman" w:hAnsi="Times New Roman" w:cs="Times New Roman"/>
                <w:b/>
                <w:sz w:val="20"/>
                <w:szCs w:val="20"/>
              </w:rPr>
              <w:t>&lt; Agreements from GTW &gt;</w:t>
            </w:r>
            <w:r w:rsidRPr="00785A7D">
              <w:rPr>
                <w:rFonts w:ascii="Times New Roman" w:hAnsi="Times New Roman" w:cs="Times New Roman"/>
                <w:sz w:val="20"/>
                <w:szCs w:val="20"/>
              </w:rPr>
              <w:t xml:space="preserve">:  </w:t>
            </w:r>
          </w:p>
          <w:p w:rsidR="00785A7D" w:rsidRPr="00785A7D" w:rsidRDefault="00785A7D" w:rsidP="00785A7D">
            <w:pPr>
              <w:pStyle w:val="a7"/>
              <w:numPr>
                <w:ilvl w:val="1"/>
                <w:numId w:val="42"/>
              </w:numPr>
              <w:overflowPunct w:val="0"/>
              <w:autoSpaceDE w:val="0"/>
              <w:autoSpaceDN w:val="0"/>
              <w:adjustRightInd w:val="0"/>
              <w:spacing w:after="120" w:line="252" w:lineRule="auto"/>
              <w:contextualSpacing w:val="0"/>
              <w:rPr>
                <w:rFonts w:eastAsia="MS Mincho"/>
                <w:sz w:val="20"/>
                <w:szCs w:val="20"/>
                <w:lang w:eastAsia="ja-JP"/>
              </w:rPr>
            </w:pPr>
            <w:r w:rsidRPr="00785A7D">
              <w:rPr>
                <w:rFonts w:eastAsia="等线"/>
                <w:iCs/>
                <w:sz w:val="20"/>
                <w:szCs w:val="20"/>
              </w:rPr>
              <w:t xml:space="preserve">Option 1: Support of parallel measurements upon NCSGs collision is up to UE capability </w:t>
            </w:r>
          </w:p>
          <w:p w:rsidR="003254DA" w:rsidRPr="001A3696" w:rsidRDefault="00785A7D" w:rsidP="00785A7D">
            <w:pPr>
              <w:pStyle w:val="a7"/>
              <w:numPr>
                <w:ilvl w:val="1"/>
                <w:numId w:val="42"/>
              </w:numPr>
              <w:overflowPunct w:val="0"/>
              <w:autoSpaceDE w:val="0"/>
              <w:autoSpaceDN w:val="0"/>
              <w:adjustRightInd w:val="0"/>
              <w:spacing w:after="120" w:line="252" w:lineRule="auto"/>
              <w:contextualSpacing w:val="0"/>
              <w:rPr>
                <w:lang w:eastAsia="ja-JP"/>
              </w:rPr>
            </w:pPr>
            <w:r w:rsidRPr="00785A7D">
              <w:rPr>
                <w:rFonts w:eastAsia="等线"/>
                <w:iCs/>
                <w:sz w:val="20"/>
                <w:szCs w:val="20"/>
              </w:rPr>
              <w:t xml:space="preserve">Option 2: Do not support parallel measurements upon NCSGs collision </w:t>
            </w:r>
          </w:p>
          <w:p w:rsidR="001A3696" w:rsidRPr="004D08CB" w:rsidRDefault="001A3696" w:rsidP="001A3696">
            <w:pPr>
              <w:pStyle w:val="3"/>
              <w:widowControl/>
              <w:numPr>
                <w:ilvl w:val="2"/>
                <w:numId w:val="0"/>
              </w:numPr>
              <w:tabs>
                <w:tab w:val="left" w:pos="576"/>
                <w:tab w:val="left" w:pos="1146"/>
              </w:tabs>
              <w:spacing w:before="120" w:after="180" w:line="240" w:lineRule="auto"/>
              <w:ind w:left="720" w:hanging="720"/>
              <w:jc w:val="left"/>
              <w:rPr>
                <w:rFonts w:ascii="Times New Roman" w:hAnsi="Times New Roman" w:cs="Times New Roman"/>
                <w:b w:val="0"/>
                <w:bCs w:val="0"/>
                <w:sz w:val="20"/>
                <w:szCs w:val="20"/>
              </w:rPr>
            </w:pPr>
            <w:r w:rsidRPr="004D08CB">
              <w:rPr>
                <w:rFonts w:ascii="Times New Roman" w:hAnsi="Times New Roman" w:cs="Times New Roman"/>
                <w:b w:val="0"/>
                <w:bCs w:val="0"/>
                <w:sz w:val="20"/>
                <w:szCs w:val="20"/>
                <w:u w:val="single"/>
              </w:rPr>
              <w:t>Issue 4-2-2: [Case 2] Whether to support parallel measurements in the following scenarios for two NCSG</w:t>
            </w:r>
          </w:p>
          <w:p w:rsidR="001A3696" w:rsidRPr="004D08CB" w:rsidRDefault="001A3696" w:rsidP="001A3696">
            <w:pPr>
              <w:spacing w:afterLines="50" w:after="156"/>
              <w:ind w:leftChars="200" w:left="420"/>
              <w:rPr>
                <w:rFonts w:ascii="Times New Roman" w:hAnsi="Times New Roman" w:cs="Times New Roman"/>
                <w:sz w:val="20"/>
                <w:szCs w:val="20"/>
              </w:rPr>
            </w:pPr>
            <w:r w:rsidRPr="004D08CB">
              <w:rPr>
                <w:rFonts w:ascii="Times New Roman" w:hAnsi="Times New Roman" w:cs="Times New Roman"/>
                <w:b/>
                <w:sz w:val="20"/>
                <w:szCs w:val="20"/>
              </w:rPr>
              <w:t>&lt; Way forward &gt;</w:t>
            </w:r>
            <w:r w:rsidRPr="004D08CB">
              <w:rPr>
                <w:rFonts w:ascii="Times New Roman" w:hAnsi="Times New Roman" w:cs="Times New Roman"/>
                <w:sz w:val="20"/>
                <w:szCs w:val="20"/>
              </w:rPr>
              <w:t xml:space="preserve">: </w:t>
            </w:r>
          </w:p>
          <w:p w:rsidR="001A3696" w:rsidRPr="004D08CB" w:rsidRDefault="001A3696" w:rsidP="001A3696">
            <w:pPr>
              <w:widowControl/>
              <w:numPr>
                <w:ilvl w:val="0"/>
                <w:numId w:val="42"/>
              </w:numPr>
              <w:spacing w:afterLines="50" w:after="156"/>
              <w:jc w:val="left"/>
              <w:rPr>
                <w:rFonts w:ascii="Times New Roman" w:hAnsi="Times New Roman" w:cs="Times New Roman"/>
                <w:sz w:val="20"/>
                <w:szCs w:val="20"/>
              </w:rPr>
            </w:pPr>
            <w:r w:rsidRPr="004D08CB">
              <w:rPr>
                <w:rFonts w:ascii="Times New Roman" w:hAnsi="Times New Roman" w:cs="Times New Roman"/>
                <w:sz w:val="20"/>
                <w:szCs w:val="20"/>
              </w:rPr>
              <w:t>FFS the following options</w:t>
            </w:r>
          </w:p>
          <w:p w:rsidR="001A3696" w:rsidRPr="004D08CB" w:rsidRDefault="001A3696" w:rsidP="001A3696">
            <w:pPr>
              <w:ind w:left="916"/>
              <w:rPr>
                <w:rFonts w:ascii="Times New Roman" w:hAnsi="Times New Roman" w:cs="Times New Roman"/>
                <w:b/>
                <w:sz w:val="20"/>
                <w:szCs w:val="20"/>
                <w:u w:val="single"/>
                <w:lang w:eastAsia="ko-KR"/>
              </w:rPr>
            </w:pPr>
            <w:r w:rsidRPr="004D08CB">
              <w:rPr>
                <w:rFonts w:ascii="Times New Roman" w:hAnsi="Times New Roman" w:cs="Times New Roman"/>
                <w:b/>
                <w:sz w:val="20"/>
                <w:szCs w:val="20"/>
                <w:lang w:eastAsia="ko-KR"/>
              </w:rPr>
              <w:t>Scenario 1:</w:t>
            </w:r>
            <w:r w:rsidRPr="004D08CB">
              <w:rPr>
                <w:rFonts w:ascii="Times New Roman" w:hAnsi="Times New Roman" w:cs="Times New Roman"/>
                <w:b/>
                <w:sz w:val="20"/>
                <w:szCs w:val="20"/>
              </w:rPr>
              <w:t xml:space="preserve"> NW only configures</w:t>
            </w:r>
            <w:r w:rsidRPr="004D08CB">
              <w:rPr>
                <w:rFonts w:ascii="Times New Roman" w:hAnsi="Times New Roman" w:cs="Times New Roman"/>
                <w:b/>
                <w:sz w:val="20"/>
                <w:szCs w:val="20"/>
                <w:lang w:eastAsia="ko-KR"/>
              </w:rPr>
              <w:t xml:space="preserve"> deactivated SCells’ measurement</w:t>
            </w:r>
          </w:p>
          <w:p w:rsidR="001A3696" w:rsidRPr="004D08CB" w:rsidRDefault="001A3696" w:rsidP="001A3696">
            <w:pPr>
              <w:pStyle w:val="a7"/>
              <w:numPr>
                <w:ilvl w:val="1"/>
                <w:numId w:val="43"/>
              </w:numPr>
              <w:ind w:left="2072"/>
              <w:contextualSpacing w:val="0"/>
              <w:rPr>
                <w:sz w:val="20"/>
                <w:szCs w:val="20"/>
                <w:lang w:eastAsia="zh-CN"/>
              </w:rPr>
            </w:pPr>
            <w:r w:rsidRPr="004D08CB">
              <w:rPr>
                <w:sz w:val="20"/>
                <w:szCs w:val="20"/>
                <w:lang w:eastAsia="zh-CN"/>
              </w:rPr>
              <w:t xml:space="preserve">Option 1: </w:t>
            </w:r>
          </w:p>
          <w:p w:rsidR="001A3696" w:rsidRPr="004D08CB" w:rsidRDefault="001A3696" w:rsidP="001A3696">
            <w:pPr>
              <w:pStyle w:val="a7"/>
              <w:numPr>
                <w:ilvl w:val="2"/>
                <w:numId w:val="43"/>
              </w:numPr>
              <w:ind w:left="3008"/>
              <w:contextualSpacing w:val="0"/>
              <w:rPr>
                <w:sz w:val="20"/>
                <w:szCs w:val="20"/>
                <w:lang w:eastAsia="zh-CN"/>
              </w:rPr>
            </w:pPr>
            <w:r w:rsidRPr="004D08CB">
              <w:rPr>
                <w:sz w:val="20"/>
                <w:szCs w:val="20"/>
                <w:lang w:eastAsia="zh-CN"/>
              </w:rPr>
              <w:t>No.</w:t>
            </w:r>
          </w:p>
          <w:p w:rsidR="001A3696" w:rsidRPr="004D08CB" w:rsidRDefault="001A3696" w:rsidP="001A3696">
            <w:pPr>
              <w:pStyle w:val="a7"/>
              <w:numPr>
                <w:ilvl w:val="1"/>
                <w:numId w:val="43"/>
              </w:numPr>
              <w:ind w:left="2072"/>
              <w:contextualSpacing w:val="0"/>
              <w:rPr>
                <w:sz w:val="20"/>
                <w:szCs w:val="20"/>
                <w:lang w:eastAsia="zh-CN"/>
              </w:rPr>
            </w:pPr>
            <w:r w:rsidRPr="004D08CB">
              <w:rPr>
                <w:sz w:val="20"/>
                <w:szCs w:val="20"/>
                <w:lang w:eastAsia="zh-CN"/>
              </w:rPr>
              <w:t xml:space="preserve">Option 2: </w:t>
            </w:r>
          </w:p>
          <w:p w:rsidR="001A3696" w:rsidRPr="004D08CB" w:rsidRDefault="001A3696" w:rsidP="001A3696">
            <w:pPr>
              <w:pStyle w:val="a7"/>
              <w:numPr>
                <w:ilvl w:val="2"/>
                <w:numId w:val="43"/>
              </w:numPr>
              <w:ind w:left="3008"/>
              <w:contextualSpacing w:val="0"/>
              <w:rPr>
                <w:sz w:val="20"/>
                <w:szCs w:val="20"/>
                <w:lang w:eastAsia="zh-CN"/>
              </w:rPr>
            </w:pPr>
            <w:r w:rsidRPr="004D08CB">
              <w:rPr>
                <w:sz w:val="20"/>
                <w:szCs w:val="20"/>
                <w:lang w:eastAsia="zh-CN"/>
              </w:rPr>
              <w:t>Yes.</w:t>
            </w:r>
          </w:p>
          <w:p w:rsidR="001A3696" w:rsidRPr="004D08CB" w:rsidRDefault="001A3696" w:rsidP="001A3696">
            <w:pPr>
              <w:ind w:left="916"/>
              <w:rPr>
                <w:rFonts w:ascii="Times New Roman" w:hAnsi="Times New Roman" w:cs="Times New Roman"/>
                <w:b/>
                <w:sz w:val="20"/>
                <w:szCs w:val="20"/>
                <w:lang w:eastAsia="ko-KR"/>
              </w:rPr>
            </w:pPr>
            <w:r w:rsidRPr="004D08CB">
              <w:rPr>
                <w:rFonts w:ascii="Times New Roman" w:hAnsi="Times New Roman" w:cs="Times New Roman"/>
                <w:b/>
                <w:sz w:val="20"/>
                <w:szCs w:val="20"/>
                <w:lang w:eastAsia="ko-KR"/>
              </w:rPr>
              <w:t>Scenario 2: NW only configures the MOs in intra-bands in which UE reports to support ‘NCSG’</w:t>
            </w:r>
          </w:p>
          <w:p w:rsidR="001A3696" w:rsidRPr="004D08CB" w:rsidRDefault="001A3696" w:rsidP="001A3696">
            <w:pPr>
              <w:pStyle w:val="a7"/>
              <w:numPr>
                <w:ilvl w:val="1"/>
                <w:numId w:val="43"/>
              </w:numPr>
              <w:ind w:left="2072"/>
              <w:contextualSpacing w:val="0"/>
              <w:rPr>
                <w:sz w:val="20"/>
                <w:szCs w:val="20"/>
                <w:lang w:eastAsia="zh-CN"/>
              </w:rPr>
            </w:pPr>
            <w:r w:rsidRPr="004D08CB">
              <w:rPr>
                <w:sz w:val="20"/>
                <w:szCs w:val="20"/>
                <w:lang w:eastAsia="zh-CN"/>
              </w:rPr>
              <w:t xml:space="preserve">Option 1: </w:t>
            </w:r>
          </w:p>
          <w:p w:rsidR="001A3696" w:rsidRPr="004D08CB" w:rsidRDefault="001A3696" w:rsidP="001A3696">
            <w:pPr>
              <w:pStyle w:val="a7"/>
              <w:numPr>
                <w:ilvl w:val="2"/>
                <w:numId w:val="43"/>
              </w:numPr>
              <w:ind w:left="3008"/>
              <w:contextualSpacing w:val="0"/>
              <w:rPr>
                <w:sz w:val="20"/>
                <w:szCs w:val="20"/>
                <w:lang w:eastAsia="zh-CN"/>
              </w:rPr>
            </w:pPr>
            <w:r w:rsidRPr="004D08CB">
              <w:rPr>
                <w:sz w:val="20"/>
                <w:szCs w:val="20"/>
                <w:lang w:eastAsia="zh-CN"/>
              </w:rPr>
              <w:t>No.</w:t>
            </w:r>
          </w:p>
          <w:p w:rsidR="001A3696" w:rsidRPr="004D08CB" w:rsidRDefault="001A3696" w:rsidP="001A3696">
            <w:pPr>
              <w:pStyle w:val="a7"/>
              <w:numPr>
                <w:ilvl w:val="1"/>
                <w:numId w:val="43"/>
              </w:numPr>
              <w:ind w:left="2072"/>
              <w:contextualSpacing w:val="0"/>
              <w:rPr>
                <w:sz w:val="20"/>
                <w:szCs w:val="20"/>
                <w:lang w:eastAsia="zh-CN"/>
              </w:rPr>
            </w:pPr>
            <w:r w:rsidRPr="004D08CB">
              <w:rPr>
                <w:sz w:val="20"/>
                <w:szCs w:val="20"/>
                <w:lang w:eastAsia="zh-CN"/>
              </w:rPr>
              <w:t xml:space="preserve">Option 2: </w:t>
            </w:r>
          </w:p>
          <w:p w:rsidR="001A3696" w:rsidRPr="004D08CB" w:rsidRDefault="001A3696" w:rsidP="001A3696">
            <w:pPr>
              <w:pStyle w:val="a7"/>
              <w:numPr>
                <w:ilvl w:val="2"/>
                <w:numId w:val="43"/>
              </w:numPr>
              <w:ind w:left="3008"/>
              <w:contextualSpacing w:val="0"/>
              <w:rPr>
                <w:sz w:val="20"/>
                <w:szCs w:val="20"/>
                <w:lang w:eastAsia="zh-CN"/>
              </w:rPr>
            </w:pPr>
            <w:r w:rsidRPr="004D08CB">
              <w:rPr>
                <w:sz w:val="20"/>
                <w:szCs w:val="20"/>
                <w:lang w:eastAsia="zh-CN"/>
              </w:rPr>
              <w:t>Yes.</w:t>
            </w:r>
          </w:p>
          <w:p w:rsidR="001A3696" w:rsidRPr="004D08CB" w:rsidRDefault="001A3696" w:rsidP="001A3696">
            <w:pPr>
              <w:ind w:left="916"/>
              <w:rPr>
                <w:rFonts w:ascii="Times New Roman" w:hAnsi="Times New Roman" w:cs="Times New Roman"/>
                <w:b/>
                <w:sz w:val="20"/>
                <w:szCs w:val="20"/>
                <w:lang w:eastAsia="ko-KR"/>
              </w:rPr>
            </w:pPr>
            <w:r w:rsidRPr="004D08CB">
              <w:rPr>
                <w:rFonts w:ascii="Times New Roman" w:hAnsi="Times New Roman" w:cs="Times New Roman"/>
                <w:b/>
                <w:sz w:val="20"/>
                <w:szCs w:val="20"/>
                <w:lang w:eastAsia="ko-KR"/>
              </w:rPr>
              <w:t>Scenario 3: NW configures MOs in intra-band associated with NCSG1 and MOs in inter-band associated with NCSG2 if UE reports ‘NCSG’ for these bands</w:t>
            </w:r>
          </w:p>
          <w:p w:rsidR="001A3696" w:rsidRPr="004D08CB" w:rsidRDefault="001A3696" w:rsidP="001A3696">
            <w:pPr>
              <w:pStyle w:val="a7"/>
              <w:numPr>
                <w:ilvl w:val="1"/>
                <w:numId w:val="43"/>
              </w:numPr>
              <w:ind w:left="2072"/>
              <w:contextualSpacing w:val="0"/>
              <w:rPr>
                <w:sz w:val="20"/>
                <w:szCs w:val="20"/>
                <w:lang w:eastAsia="zh-CN"/>
              </w:rPr>
            </w:pPr>
            <w:r w:rsidRPr="004D08CB">
              <w:rPr>
                <w:sz w:val="20"/>
                <w:szCs w:val="20"/>
                <w:lang w:eastAsia="zh-CN"/>
              </w:rPr>
              <w:lastRenderedPageBreak/>
              <w:t xml:space="preserve">Option 1: </w:t>
            </w:r>
          </w:p>
          <w:p w:rsidR="001A3696" w:rsidRPr="004D08CB" w:rsidRDefault="001A3696" w:rsidP="001A3696">
            <w:pPr>
              <w:pStyle w:val="a7"/>
              <w:numPr>
                <w:ilvl w:val="2"/>
                <w:numId w:val="43"/>
              </w:numPr>
              <w:ind w:left="3008"/>
              <w:contextualSpacing w:val="0"/>
              <w:rPr>
                <w:sz w:val="20"/>
                <w:szCs w:val="20"/>
                <w:lang w:eastAsia="zh-CN"/>
              </w:rPr>
            </w:pPr>
            <w:r w:rsidRPr="004D08CB">
              <w:rPr>
                <w:sz w:val="20"/>
                <w:szCs w:val="20"/>
                <w:lang w:eastAsia="zh-CN"/>
              </w:rPr>
              <w:t>No.</w:t>
            </w:r>
          </w:p>
          <w:p w:rsidR="001A3696" w:rsidRPr="004D08CB" w:rsidRDefault="001A3696" w:rsidP="001A3696">
            <w:pPr>
              <w:pStyle w:val="a7"/>
              <w:numPr>
                <w:ilvl w:val="1"/>
                <w:numId w:val="43"/>
              </w:numPr>
              <w:ind w:left="2072"/>
              <w:contextualSpacing w:val="0"/>
              <w:rPr>
                <w:sz w:val="20"/>
                <w:szCs w:val="20"/>
                <w:lang w:eastAsia="zh-CN"/>
              </w:rPr>
            </w:pPr>
            <w:r w:rsidRPr="004D08CB">
              <w:rPr>
                <w:sz w:val="20"/>
                <w:szCs w:val="20"/>
                <w:lang w:eastAsia="zh-CN"/>
              </w:rPr>
              <w:t xml:space="preserve">Option 2: </w:t>
            </w:r>
          </w:p>
          <w:p w:rsidR="001A3696" w:rsidRPr="001A3696" w:rsidRDefault="001A3696" w:rsidP="001A3696">
            <w:pPr>
              <w:pStyle w:val="a7"/>
              <w:numPr>
                <w:ilvl w:val="2"/>
                <w:numId w:val="43"/>
              </w:numPr>
              <w:ind w:left="3008"/>
              <w:contextualSpacing w:val="0"/>
              <w:rPr>
                <w:rFonts w:eastAsia="Yu Mincho"/>
                <w:lang w:eastAsia="ja-JP"/>
              </w:rPr>
            </w:pPr>
            <w:r w:rsidRPr="004D08CB">
              <w:rPr>
                <w:sz w:val="20"/>
                <w:szCs w:val="20"/>
                <w:lang w:eastAsia="zh-CN"/>
              </w:rPr>
              <w:t>Yes.</w:t>
            </w:r>
          </w:p>
        </w:tc>
      </w:tr>
    </w:tbl>
    <w:p w:rsidR="00992345" w:rsidRPr="00820160" w:rsidRDefault="00992345" w:rsidP="00992345">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I</w:t>
      </w:r>
      <w:r>
        <w:rPr>
          <w:rFonts w:ascii="Times New Roman" w:hAnsi="Times New Roman" w:cs="Times New Roman"/>
          <w:sz w:val="20"/>
          <w:szCs w:val="20"/>
          <w:lang w:val="en-GB"/>
        </w:rPr>
        <w:t xml:space="preserve">n Rel-17 NCSG design, </w:t>
      </w:r>
      <w:r>
        <w:rPr>
          <w:rFonts w:ascii="Times New Roman" w:hAnsi="Times New Roman" w:cs="Times New Roman" w:hint="eastAsia"/>
          <w:sz w:val="20"/>
          <w:szCs w:val="20"/>
          <w:lang w:val="en-GB"/>
        </w:rPr>
        <w:t>if</w:t>
      </w:r>
      <w:r>
        <w:rPr>
          <w:rFonts w:ascii="Times New Roman" w:hAnsi="Times New Roman" w:cs="Times New Roman"/>
          <w:sz w:val="20"/>
          <w:szCs w:val="20"/>
          <w:lang w:val="en-GB"/>
        </w:rPr>
        <w:t xml:space="preserve"> the UE supports NCSG capability, it means the UE supports to perform L3 measurement on neighbour carrier and scheduling on serving carrier simultaneously, however, it does not mean the UE is able to perform L3 measurement on serving carrier(s) without gap and on neighbour carrier with NCSG simultaneously due to the baseband restriction</w:t>
      </w:r>
      <w:r w:rsidR="004D08CB">
        <w:rPr>
          <w:rFonts w:ascii="Times New Roman" w:hAnsi="Times New Roman" w:cs="Times New Roman"/>
          <w:sz w:val="20"/>
          <w:szCs w:val="20"/>
          <w:lang w:val="en-GB"/>
        </w:rPr>
        <w:t xml:space="preserve">, that’s </w:t>
      </w:r>
      <w:r>
        <w:rPr>
          <w:rFonts w:ascii="Times New Roman" w:hAnsi="Times New Roman" w:cs="Times New Roman"/>
          <w:sz w:val="20"/>
          <w:szCs w:val="20"/>
          <w:lang w:val="en-GB"/>
        </w:rPr>
        <w:t xml:space="preserve">the reason </w:t>
      </w:r>
      <w:r w:rsidR="004D08CB">
        <w:rPr>
          <w:rFonts w:ascii="Times New Roman" w:hAnsi="Times New Roman" w:cs="Times New Roman"/>
          <w:sz w:val="20"/>
          <w:szCs w:val="20"/>
          <w:lang w:val="en-GB"/>
        </w:rPr>
        <w:t xml:space="preserve">why </w:t>
      </w:r>
      <w:r>
        <w:rPr>
          <w:rFonts w:ascii="Times New Roman" w:hAnsi="Times New Roman" w:cs="Times New Roman"/>
          <w:sz w:val="20"/>
          <w:szCs w:val="20"/>
          <w:lang w:val="en-GB"/>
        </w:rPr>
        <w:t xml:space="preserve">the </w:t>
      </w:r>
      <w:r w:rsidRPr="00992345">
        <w:rPr>
          <w:rFonts w:ascii="Times New Roman" w:hAnsi="Times New Roman" w:cs="Times New Roman"/>
          <w:sz w:val="20"/>
          <w:szCs w:val="20"/>
          <w:lang w:val="en-GB"/>
        </w:rPr>
        <w:t>carrier-specific scaling factor CSSF</w:t>
      </w:r>
      <w:r w:rsidRPr="00992345">
        <w:rPr>
          <w:rFonts w:ascii="Times New Roman" w:hAnsi="Times New Roman" w:cs="Times New Roman"/>
          <w:sz w:val="20"/>
          <w:szCs w:val="20"/>
          <w:vertAlign w:val="subscript"/>
          <w:lang w:val="en-GB"/>
        </w:rPr>
        <w:t>within_ncsg,i</w:t>
      </w:r>
      <w:r w:rsidRPr="00992345">
        <w:rPr>
          <w:rFonts w:ascii="Times New Roman" w:hAnsi="Times New Roman" w:cs="Times New Roman"/>
          <w:sz w:val="20"/>
          <w:szCs w:val="20"/>
          <w:lang w:val="en-GB"/>
        </w:rPr>
        <w:t xml:space="preserve"> is applied to </w:t>
      </w:r>
      <w:r>
        <w:rPr>
          <w:rFonts w:ascii="Times New Roman" w:hAnsi="Times New Roman" w:cs="Times New Roman"/>
          <w:sz w:val="20"/>
          <w:szCs w:val="20"/>
          <w:lang w:val="en-GB"/>
        </w:rPr>
        <w:t xml:space="preserve">the measurement type of </w:t>
      </w:r>
      <w:r w:rsidRPr="00992345">
        <w:rPr>
          <w:rFonts w:ascii="Times New Roman" w:hAnsi="Times New Roman" w:cs="Times New Roman"/>
          <w:sz w:val="20"/>
          <w:szCs w:val="20"/>
          <w:lang w:val="en-GB"/>
        </w:rPr>
        <w:t>SSB-based intra-frequency measurement object without measurement gap</w:t>
      </w:r>
      <w:r>
        <w:rPr>
          <w:rFonts w:ascii="Times New Roman" w:hAnsi="Times New Roman" w:cs="Times New Roman"/>
          <w:sz w:val="20"/>
          <w:szCs w:val="20"/>
          <w:lang w:val="en-GB"/>
        </w:rPr>
        <w:t xml:space="preserve"> </w:t>
      </w:r>
      <w:r w:rsidRPr="00992345">
        <w:rPr>
          <w:rFonts w:ascii="Times New Roman" w:hAnsi="Times New Roman" w:cs="Times New Roman"/>
          <w:sz w:val="20"/>
          <w:szCs w:val="20"/>
          <w:lang w:val="en-GB"/>
        </w:rPr>
        <w:t>correspondin</w:t>
      </w:r>
      <w:r>
        <w:rPr>
          <w:rFonts w:ascii="Times New Roman" w:hAnsi="Times New Roman" w:cs="Times New Roman"/>
          <w:sz w:val="20"/>
          <w:szCs w:val="20"/>
          <w:lang w:val="en-GB"/>
        </w:rPr>
        <w:t xml:space="preserve">g to an activated serving cell </w:t>
      </w:r>
      <w:r w:rsidRPr="00992345">
        <w:rPr>
          <w:rFonts w:ascii="Times New Roman" w:hAnsi="Times New Roman" w:cs="Times New Roman"/>
          <w:sz w:val="20"/>
          <w:szCs w:val="20"/>
          <w:lang w:val="en-GB"/>
        </w:rPr>
        <w:t>when all of the SMTC occasions of this intra-frequency measurement object are overlapped by the NCSG</w:t>
      </w:r>
      <w:r>
        <w:rPr>
          <w:rFonts w:ascii="Times New Roman" w:hAnsi="Times New Roman" w:cs="Times New Roman"/>
          <w:sz w:val="20"/>
          <w:szCs w:val="20"/>
          <w:lang w:val="en-GB"/>
        </w:rPr>
        <w:t>. And in Rel-18, for the case of NCSG + type-2 MG, when the NCSG occasion is collided with type-2 MG occasion, if we follow the same design principle, the UE cannot perform the</w:t>
      </w:r>
      <w:r w:rsidR="00077D39">
        <w:rPr>
          <w:rFonts w:ascii="Times New Roman" w:hAnsi="Times New Roman" w:cs="Times New Roman"/>
          <w:sz w:val="20"/>
          <w:szCs w:val="20"/>
          <w:lang w:val="en-GB"/>
        </w:rPr>
        <w:t xml:space="preserve"> L3</w:t>
      </w:r>
      <w:r>
        <w:rPr>
          <w:rFonts w:ascii="Times New Roman" w:hAnsi="Times New Roman" w:cs="Times New Roman"/>
          <w:sz w:val="20"/>
          <w:szCs w:val="20"/>
          <w:lang w:val="en-GB"/>
        </w:rPr>
        <w:t xml:space="preserve"> measurement on serving/neighbour carrier with type-2 MG and on neighbour carrier with NCSG simultaneously. And if the gap colliding happens, the existing priority rule is used to handle the gap collision. For the case of NCSG+NCSG, and if two spare Rx chains are assumed, the one NCSG occasion may be collided with the other NCSG occasion, </w:t>
      </w:r>
      <w:r w:rsidR="00077D39">
        <w:rPr>
          <w:rFonts w:ascii="Times New Roman" w:hAnsi="Times New Roman" w:cs="Times New Roman"/>
          <w:sz w:val="20"/>
          <w:szCs w:val="20"/>
          <w:lang w:val="en-GB"/>
        </w:rPr>
        <w:t xml:space="preserve">follow the same principle, </w:t>
      </w:r>
      <w:r>
        <w:rPr>
          <w:rFonts w:ascii="Times New Roman" w:hAnsi="Times New Roman" w:cs="Times New Roman"/>
          <w:sz w:val="20"/>
          <w:szCs w:val="20"/>
          <w:lang w:val="en-GB"/>
        </w:rPr>
        <w:t>the UE cannot perform the measurement on two neighbour carriers with two NCSGs simultaneously.</w:t>
      </w:r>
    </w:p>
    <w:p w:rsidR="00992345" w:rsidRPr="00AE52E9" w:rsidRDefault="00992345" w:rsidP="00992345">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077D39">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not to consider the parallel measurement upon gap collision</w:t>
      </w:r>
      <w:r w:rsidRPr="00051822">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785A7D" w:rsidRPr="007B00F5" w:rsidRDefault="003D2B1A" w:rsidP="007B00F5">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not to support parallel measurement upon NCSGs collision in scenario 1/2/3</w:t>
      </w:r>
      <w:r w:rsidRPr="00051822">
        <w:rPr>
          <w:rFonts w:ascii="Times New Roman" w:hAnsi="Times New Roman" w:cs="Times New Roman"/>
          <w:b/>
          <w:sz w:val="20"/>
          <w:szCs w:val="20"/>
          <w:lang w:val="en-GB"/>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5"/>
      </w:tblGrid>
      <w:tr w:rsidR="007B00F5" w:rsidTr="007B00F5">
        <w:trPr>
          <w:trHeight w:val="599"/>
        </w:trPr>
        <w:tc>
          <w:tcPr>
            <w:tcW w:w="8215" w:type="dxa"/>
          </w:tcPr>
          <w:p w:rsidR="007B00F5" w:rsidRPr="007B00F5" w:rsidRDefault="007B00F5" w:rsidP="007B00F5">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7B00F5">
              <w:rPr>
                <w:rFonts w:ascii="Times New Roman" w:hAnsi="Times New Roman" w:cs="Times New Roman"/>
                <w:b w:val="0"/>
                <w:bCs w:val="0"/>
                <w:sz w:val="20"/>
                <w:szCs w:val="20"/>
                <w:u w:val="single"/>
              </w:rPr>
              <w:t>Issue 4-2-5: [Case 2] Whether to consider a new capability for NCSG + NCSG in an FR</w:t>
            </w:r>
          </w:p>
          <w:p w:rsidR="007B00F5" w:rsidRPr="007B00F5" w:rsidRDefault="007B00F5" w:rsidP="007B00F5">
            <w:pPr>
              <w:spacing w:afterLines="50" w:after="156"/>
              <w:ind w:leftChars="200" w:left="420"/>
              <w:rPr>
                <w:rFonts w:ascii="Times New Roman" w:hAnsi="Times New Roman" w:cs="Times New Roman"/>
                <w:sz w:val="20"/>
                <w:szCs w:val="20"/>
              </w:rPr>
            </w:pPr>
            <w:r w:rsidRPr="007B00F5">
              <w:rPr>
                <w:rFonts w:ascii="Times New Roman" w:hAnsi="Times New Roman" w:cs="Times New Roman"/>
                <w:b/>
                <w:sz w:val="20"/>
                <w:szCs w:val="20"/>
              </w:rPr>
              <w:t>&lt; Way forward &gt;</w:t>
            </w:r>
            <w:r w:rsidRPr="007B00F5">
              <w:rPr>
                <w:rFonts w:ascii="Times New Roman" w:hAnsi="Times New Roman" w:cs="Times New Roman"/>
                <w:sz w:val="20"/>
                <w:szCs w:val="20"/>
              </w:rPr>
              <w:t xml:space="preserve">: </w:t>
            </w:r>
          </w:p>
          <w:p w:rsidR="007B00F5" w:rsidRPr="007B00F5" w:rsidRDefault="007B00F5" w:rsidP="007B00F5">
            <w:pPr>
              <w:widowControl/>
              <w:numPr>
                <w:ilvl w:val="0"/>
                <w:numId w:val="42"/>
              </w:numPr>
              <w:spacing w:afterLines="50" w:after="156"/>
              <w:jc w:val="left"/>
              <w:rPr>
                <w:rFonts w:ascii="Times New Roman" w:hAnsi="Times New Roman" w:cs="Times New Roman"/>
                <w:sz w:val="20"/>
                <w:szCs w:val="20"/>
              </w:rPr>
            </w:pPr>
            <w:r w:rsidRPr="007B00F5">
              <w:rPr>
                <w:rFonts w:ascii="Times New Roman" w:hAnsi="Times New Roman" w:cs="Times New Roman"/>
                <w:sz w:val="20"/>
                <w:szCs w:val="20"/>
              </w:rPr>
              <w:t>FFS the following options</w:t>
            </w:r>
          </w:p>
          <w:p w:rsidR="007B00F5" w:rsidRPr="007B00F5" w:rsidRDefault="007B00F5" w:rsidP="007B00F5">
            <w:pPr>
              <w:pStyle w:val="a7"/>
              <w:numPr>
                <w:ilvl w:val="1"/>
                <w:numId w:val="42"/>
              </w:numPr>
              <w:autoSpaceDN w:val="0"/>
              <w:contextualSpacing w:val="0"/>
              <w:rPr>
                <w:color w:val="000000"/>
                <w:sz w:val="20"/>
                <w:szCs w:val="20"/>
                <w:lang w:eastAsia="zh-CN"/>
              </w:rPr>
            </w:pPr>
            <w:r w:rsidRPr="007B00F5">
              <w:rPr>
                <w:color w:val="000000"/>
                <w:sz w:val="20"/>
                <w:szCs w:val="20"/>
                <w:lang w:eastAsia="zh-CN"/>
              </w:rPr>
              <w:t xml:space="preserve">Option 1a: </w:t>
            </w:r>
          </w:p>
          <w:p w:rsidR="007B00F5" w:rsidRPr="007B00F5" w:rsidRDefault="007B00F5" w:rsidP="007B00F5">
            <w:pPr>
              <w:pStyle w:val="a7"/>
              <w:numPr>
                <w:ilvl w:val="2"/>
                <w:numId w:val="42"/>
              </w:numPr>
              <w:autoSpaceDN w:val="0"/>
              <w:contextualSpacing w:val="0"/>
              <w:rPr>
                <w:color w:val="000000"/>
                <w:sz w:val="20"/>
                <w:szCs w:val="20"/>
                <w:lang w:eastAsia="zh-CN"/>
              </w:rPr>
            </w:pPr>
            <w:r w:rsidRPr="007B00F5">
              <w:rPr>
                <w:sz w:val="20"/>
                <w:szCs w:val="20"/>
                <w:lang w:eastAsia="zh-CN"/>
              </w:rPr>
              <w:t xml:space="preserve">No, </w:t>
            </w:r>
            <w:r w:rsidRPr="007B00F5">
              <w:rPr>
                <w:b/>
                <w:bCs/>
                <w:sz w:val="20"/>
                <w:szCs w:val="20"/>
                <w:lang w:eastAsia="zh-CN"/>
              </w:rPr>
              <w:t>without</w:t>
            </w:r>
            <w:r w:rsidRPr="007B00F5">
              <w:rPr>
                <w:sz w:val="20"/>
                <w:szCs w:val="20"/>
                <w:lang w:eastAsia="zh-CN"/>
              </w:rPr>
              <w:t xml:space="preserve"> UE capability if two NCSG patterns are supported based on single RF chain.</w:t>
            </w:r>
          </w:p>
          <w:p w:rsidR="007B00F5" w:rsidRPr="007B00F5" w:rsidRDefault="007B00F5" w:rsidP="007B00F5">
            <w:pPr>
              <w:pStyle w:val="a7"/>
              <w:numPr>
                <w:ilvl w:val="1"/>
                <w:numId w:val="42"/>
              </w:numPr>
              <w:autoSpaceDN w:val="0"/>
              <w:contextualSpacing w:val="0"/>
              <w:rPr>
                <w:color w:val="000000"/>
                <w:sz w:val="20"/>
                <w:szCs w:val="20"/>
                <w:lang w:eastAsia="zh-CN"/>
              </w:rPr>
            </w:pPr>
            <w:r w:rsidRPr="007B00F5">
              <w:rPr>
                <w:color w:val="000000"/>
                <w:sz w:val="20"/>
                <w:szCs w:val="20"/>
                <w:lang w:eastAsia="zh-CN"/>
              </w:rPr>
              <w:t xml:space="preserve">Option 2: </w:t>
            </w:r>
          </w:p>
          <w:p w:rsidR="007B00F5" w:rsidRPr="007B00F5" w:rsidRDefault="007B00F5" w:rsidP="007B00F5">
            <w:pPr>
              <w:pStyle w:val="a7"/>
              <w:numPr>
                <w:ilvl w:val="2"/>
                <w:numId w:val="42"/>
              </w:numPr>
              <w:autoSpaceDN w:val="0"/>
              <w:contextualSpacing w:val="0"/>
              <w:rPr>
                <w:color w:val="000000"/>
                <w:sz w:val="20"/>
                <w:szCs w:val="20"/>
                <w:lang w:eastAsia="zh-CN"/>
              </w:rPr>
            </w:pPr>
            <w:r w:rsidRPr="007B00F5">
              <w:rPr>
                <w:sz w:val="20"/>
                <w:szCs w:val="20"/>
                <w:lang w:eastAsia="zh-CN"/>
              </w:rPr>
              <w:t xml:space="preserve">Yes, </w:t>
            </w:r>
            <w:r w:rsidRPr="007B00F5">
              <w:rPr>
                <w:b/>
                <w:bCs/>
                <w:sz w:val="20"/>
                <w:szCs w:val="20"/>
                <w:lang w:eastAsia="zh-CN"/>
              </w:rPr>
              <w:t>with</w:t>
            </w:r>
            <w:r w:rsidRPr="007B00F5">
              <w:rPr>
                <w:sz w:val="20"/>
                <w:szCs w:val="20"/>
                <w:lang w:eastAsia="zh-CN"/>
              </w:rPr>
              <w:t xml:space="preserve"> UE capability </w:t>
            </w:r>
          </w:p>
          <w:p w:rsidR="007B00F5" w:rsidRPr="007B00F5" w:rsidRDefault="007B00F5" w:rsidP="007B00F5">
            <w:pPr>
              <w:pStyle w:val="a7"/>
              <w:numPr>
                <w:ilvl w:val="1"/>
                <w:numId w:val="42"/>
              </w:numPr>
              <w:autoSpaceDN w:val="0"/>
              <w:contextualSpacing w:val="0"/>
              <w:rPr>
                <w:color w:val="000000"/>
                <w:sz w:val="20"/>
                <w:szCs w:val="20"/>
                <w:lang w:eastAsia="zh-CN"/>
              </w:rPr>
            </w:pPr>
            <w:r w:rsidRPr="007B00F5">
              <w:rPr>
                <w:color w:val="000000"/>
                <w:sz w:val="20"/>
                <w:szCs w:val="20"/>
                <w:lang w:eastAsia="zh-CN"/>
              </w:rPr>
              <w:t xml:space="preserve">Option 2a: </w:t>
            </w:r>
          </w:p>
          <w:p w:rsidR="007B00F5" w:rsidRPr="007B00F5" w:rsidRDefault="007B00F5" w:rsidP="007B00F5">
            <w:pPr>
              <w:pStyle w:val="a7"/>
              <w:numPr>
                <w:ilvl w:val="2"/>
                <w:numId w:val="42"/>
              </w:numPr>
              <w:autoSpaceDN w:val="0"/>
              <w:contextualSpacing w:val="0"/>
              <w:rPr>
                <w:color w:val="000000"/>
                <w:sz w:val="20"/>
                <w:szCs w:val="20"/>
                <w:lang w:eastAsia="zh-CN"/>
              </w:rPr>
            </w:pPr>
            <w:r w:rsidRPr="007B00F5">
              <w:rPr>
                <w:sz w:val="20"/>
                <w:szCs w:val="20"/>
                <w:lang w:eastAsia="zh-CN"/>
              </w:rPr>
              <w:t xml:space="preserve">Yes, </w:t>
            </w:r>
            <w:r w:rsidRPr="007B00F5">
              <w:rPr>
                <w:b/>
                <w:bCs/>
                <w:sz w:val="20"/>
                <w:szCs w:val="20"/>
                <w:lang w:eastAsia="zh-CN"/>
              </w:rPr>
              <w:t>with</w:t>
            </w:r>
            <w:r w:rsidRPr="007B00F5">
              <w:rPr>
                <w:sz w:val="20"/>
                <w:szCs w:val="20"/>
                <w:lang w:eastAsia="zh-CN"/>
              </w:rPr>
              <w:t xml:space="preserve"> UE capability if two RF chains are in use to support NCSG+NCSG, we are fine to introduce new UE capability</w:t>
            </w:r>
          </w:p>
          <w:p w:rsidR="007B00F5" w:rsidRPr="007B00F5" w:rsidRDefault="007B00F5" w:rsidP="007B00F5">
            <w:pPr>
              <w:pStyle w:val="a7"/>
              <w:numPr>
                <w:ilvl w:val="1"/>
                <w:numId w:val="42"/>
              </w:numPr>
              <w:contextualSpacing w:val="0"/>
              <w:rPr>
                <w:sz w:val="20"/>
                <w:szCs w:val="20"/>
                <w:lang w:eastAsia="zh-CN"/>
              </w:rPr>
            </w:pPr>
            <w:r w:rsidRPr="007B00F5">
              <w:rPr>
                <w:color w:val="000000"/>
                <w:sz w:val="20"/>
                <w:szCs w:val="20"/>
                <w:lang w:eastAsia="zh-CN"/>
              </w:rPr>
              <w:t xml:space="preserve">Option 3: </w:t>
            </w:r>
          </w:p>
          <w:p w:rsidR="007B00F5" w:rsidRPr="007B00F5" w:rsidRDefault="007B00F5" w:rsidP="007B00F5">
            <w:pPr>
              <w:pStyle w:val="a7"/>
              <w:numPr>
                <w:ilvl w:val="2"/>
                <w:numId w:val="42"/>
              </w:numPr>
              <w:contextualSpacing w:val="0"/>
              <w:rPr>
                <w:lang w:eastAsia="zh-CN"/>
              </w:rPr>
            </w:pPr>
            <w:r w:rsidRPr="007B00F5">
              <w:rPr>
                <w:sz w:val="20"/>
                <w:szCs w:val="20"/>
                <w:lang w:eastAsia="zh-CN"/>
              </w:rPr>
              <w:t>Postpone the discussion on new capability for NCSG + NCSG until RAN4 has a consensus on parallel measurement.</w:t>
            </w:r>
          </w:p>
        </w:tc>
      </w:tr>
    </w:tbl>
    <w:p w:rsidR="0083649D" w:rsidRDefault="00630344"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ccording to the WID scope, the combination of </w:t>
      </w:r>
      <w:r w:rsidR="003254DA">
        <w:rPr>
          <w:rFonts w:ascii="Times New Roman" w:hAnsi="Times New Roman" w:cs="Times New Roman"/>
          <w:sz w:val="20"/>
          <w:szCs w:val="20"/>
          <w:lang w:val="en-GB"/>
        </w:rPr>
        <w:t>NCSG</w:t>
      </w:r>
      <w:r>
        <w:rPr>
          <w:rFonts w:ascii="Times New Roman" w:hAnsi="Times New Roman" w:cs="Times New Roman"/>
          <w:sz w:val="20"/>
          <w:szCs w:val="20"/>
          <w:lang w:val="en-GB"/>
        </w:rPr>
        <w:t xml:space="preserve"> + </w:t>
      </w:r>
      <w:r w:rsidR="003254DA">
        <w:rPr>
          <w:rFonts w:ascii="Times New Roman" w:hAnsi="Times New Roman" w:cs="Times New Roman"/>
          <w:sz w:val="20"/>
          <w:szCs w:val="20"/>
          <w:lang w:val="en-GB"/>
        </w:rPr>
        <w:t>NCSG</w:t>
      </w:r>
      <w:r>
        <w:rPr>
          <w:rFonts w:ascii="Times New Roman" w:hAnsi="Times New Roman" w:cs="Times New Roman"/>
          <w:sz w:val="20"/>
          <w:szCs w:val="20"/>
          <w:lang w:val="en-GB"/>
        </w:rPr>
        <w:t xml:space="preserve"> in an FR should be included.</w:t>
      </w:r>
      <w:r w:rsidR="002B7E31">
        <w:rPr>
          <w:rFonts w:ascii="Times New Roman" w:hAnsi="Times New Roman" w:cs="Times New Roman"/>
          <w:sz w:val="20"/>
          <w:szCs w:val="20"/>
          <w:lang w:val="en-GB"/>
        </w:rPr>
        <w:t xml:space="preserve"> </w:t>
      </w:r>
      <w:r w:rsidR="00035A44">
        <w:rPr>
          <w:rFonts w:ascii="Times New Roman" w:hAnsi="Times New Roman" w:cs="Times New Roman"/>
          <w:sz w:val="20"/>
          <w:szCs w:val="20"/>
          <w:lang w:val="en-GB"/>
        </w:rPr>
        <w:t xml:space="preserve">In our understanding, </w:t>
      </w:r>
      <w:r w:rsidR="001B14F3">
        <w:rPr>
          <w:rFonts w:ascii="Times New Roman" w:hAnsi="Times New Roman" w:cs="Times New Roman"/>
          <w:sz w:val="20"/>
          <w:szCs w:val="20"/>
          <w:lang w:val="en-GB"/>
        </w:rPr>
        <w:t xml:space="preserve">UE may have different implementation to support the combination of NCSG + NCSG. </w:t>
      </w:r>
      <w:r w:rsidR="0083649D">
        <w:rPr>
          <w:rFonts w:ascii="Times New Roman" w:hAnsi="Times New Roman" w:cs="Times New Roman"/>
          <w:sz w:val="20"/>
          <w:szCs w:val="20"/>
          <w:lang w:val="en-GB"/>
        </w:rPr>
        <w:t>If</w:t>
      </w:r>
      <w:r w:rsidR="00035A44">
        <w:rPr>
          <w:rFonts w:ascii="Times New Roman" w:hAnsi="Times New Roman" w:cs="Times New Roman"/>
          <w:sz w:val="20"/>
          <w:szCs w:val="20"/>
          <w:lang w:val="en-GB"/>
        </w:rPr>
        <w:t xml:space="preserve"> </w:t>
      </w:r>
      <w:r w:rsidR="001B14F3">
        <w:rPr>
          <w:rFonts w:ascii="Times New Roman" w:hAnsi="Times New Roman" w:cs="Times New Roman"/>
          <w:sz w:val="20"/>
          <w:szCs w:val="20"/>
          <w:lang w:val="en-GB"/>
        </w:rPr>
        <w:t>the combination of NCSG + NCSG</w:t>
      </w:r>
      <w:r w:rsidR="0083649D">
        <w:rPr>
          <w:rFonts w:ascii="Times New Roman" w:hAnsi="Times New Roman" w:cs="Times New Roman"/>
          <w:sz w:val="20"/>
          <w:szCs w:val="20"/>
          <w:lang w:val="en-GB"/>
        </w:rPr>
        <w:t xml:space="preserve"> is implemented in the same spare RF chain,</w:t>
      </w:r>
      <w:r w:rsidR="00035A44">
        <w:rPr>
          <w:rFonts w:ascii="Times New Roman" w:hAnsi="Times New Roman" w:cs="Times New Roman"/>
          <w:sz w:val="20"/>
          <w:szCs w:val="20"/>
          <w:lang w:val="en-GB"/>
        </w:rPr>
        <w:t xml:space="preserve"> </w:t>
      </w:r>
      <w:r w:rsidR="0083649D">
        <w:rPr>
          <w:rFonts w:ascii="Times New Roman" w:hAnsi="Times New Roman" w:cs="Times New Roman"/>
          <w:sz w:val="20"/>
          <w:szCs w:val="20"/>
          <w:lang w:val="en-GB"/>
        </w:rPr>
        <w:t xml:space="preserve">it </w:t>
      </w:r>
      <w:r w:rsidR="00035A44">
        <w:rPr>
          <w:rFonts w:ascii="Times New Roman" w:hAnsi="Times New Roman" w:cs="Times New Roman"/>
          <w:sz w:val="20"/>
          <w:szCs w:val="20"/>
          <w:lang w:val="en-GB"/>
        </w:rPr>
        <w:t>can be supported without any additional UE capability</w:t>
      </w:r>
      <w:r w:rsidR="0083649D">
        <w:rPr>
          <w:rFonts w:ascii="Times New Roman" w:hAnsi="Times New Roman" w:cs="Times New Roman"/>
          <w:sz w:val="20"/>
          <w:szCs w:val="20"/>
          <w:lang w:val="en-GB"/>
        </w:rPr>
        <w:t xml:space="preserve"> as long as the UE supports Rel-17 NCSG patterns</w:t>
      </w:r>
      <w:r w:rsidR="00035A44">
        <w:rPr>
          <w:rFonts w:ascii="Times New Roman" w:hAnsi="Times New Roman" w:cs="Times New Roman"/>
          <w:sz w:val="20"/>
          <w:szCs w:val="20"/>
          <w:lang w:val="en-GB"/>
        </w:rPr>
        <w:t>.</w:t>
      </w:r>
      <w:r w:rsidR="00D30BD4">
        <w:rPr>
          <w:rFonts w:ascii="Times New Roman" w:hAnsi="Times New Roman" w:cs="Times New Roman"/>
          <w:sz w:val="20"/>
          <w:szCs w:val="20"/>
          <w:lang w:val="en-GB"/>
        </w:rPr>
        <w:t xml:space="preserve"> </w:t>
      </w:r>
      <w:r w:rsidR="0083649D">
        <w:rPr>
          <w:rFonts w:ascii="Times New Roman" w:hAnsi="Times New Roman" w:cs="Times New Roman"/>
          <w:sz w:val="20"/>
          <w:szCs w:val="20"/>
          <w:lang w:val="en-GB"/>
        </w:rPr>
        <w:t>If the combination of NCSG + NCSG is implemented in the two spare RF chains, a new UE capability is needed.</w:t>
      </w:r>
      <w:r w:rsidR="007B00F5">
        <w:rPr>
          <w:rFonts w:ascii="Times New Roman" w:hAnsi="Times New Roman" w:cs="Times New Roman"/>
          <w:sz w:val="20"/>
          <w:szCs w:val="20"/>
          <w:lang w:val="en-GB"/>
        </w:rPr>
        <w:t xml:space="preserve"> As RAN4 was agreed no need to discuss the RF chain assumption for two NCSG patterns, thus, a new UE capability is needed to support the case that NCSG + NCSG is implemented in the two spare </w:t>
      </w:r>
      <w:r w:rsidR="007B00F5">
        <w:rPr>
          <w:rFonts w:ascii="Times New Roman" w:hAnsi="Times New Roman" w:cs="Times New Roman"/>
          <w:sz w:val="20"/>
          <w:szCs w:val="20"/>
          <w:lang w:val="en-GB"/>
        </w:rPr>
        <w:lastRenderedPageBreak/>
        <w:t>RF chains</w:t>
      </w:r>
    </w:p>
    <w:p w:rsidR="0022457F" w:rsidRDefault="0022457F" w:rsidP="0022457F">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7B00F5">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sidR="007B00F5">
        <w:rPr>
          <w:rFonts w:ascii="Times New Roman" w:hAnsi="Times New Roman" w:cs="Times New Roman"/>
          <w:b/>
          <w:sz w:val="20"/>
          <w:szCs w:val="20"/>
          <w:lang w:val="en-GB"/>
        </w:rPr>
        <w:t>RAN4 to introduce a new UE capability to support</w:t>
      </w:r>
      <w:r w:rsidR="0083649D" w:rsidRPr="0083649D">
        <w:rPr>
          <w:rFonts w:ascii="Times New Roman" w:hAnsi="Times New Roman" w:cs="Times New Roman"/>
          <w:b/>
          <w:sz w:val="20"/>
          <w:szCs w:val="20"/>
          <w:lang w:val="en-GB"/>
        </w:rPr>
        <w:t xml:space="preserve"> the combination of NCSG + NCSG </w:t>
      </w:r>
      <w:r w:rsidR="0083649D">
        <w:rPr>
          <w:rFonts w:ascii="Times New Roman" w:hAnsi="Times New Roman" w:cs="Times New Roman"/>
          <w:b/>
          <w:sz w:val="20"/>
          <w:szCs w:val="20"/>
          <w:lang w:val="en-GB"/>
        </w:rPr>
        <w:t>in an FR</w:t>
      </w:r>
      <w:r w:rsidR="0047173D">
        <w:rPr>
          <w:rFonts w:ascii="Times New Roman" w:hAnsi="Times New Roman" w:cs="Times New Roman"/>
          <w:b/>
          <w:sz w:val="20"/>
          <w:szCs w:val="20"/>
          <w:lang w:val="en-GB"/>
        </w:rPr>
        <w:t>.</w:t>
      </w:r>
    </w:p>
    <w:p w:rsidR="00537B22" w:rsidRPr="007B00F5" w:rsidRDefault="00537B22" w:rsidP="007B00F5">
      <w:pPr>
        <w:spacing w:after="120"/>
        <w:rPr>
          <w:rFonts w:ascii="Times New Roman" w:hAnsi="Times New Roman" w:cs="Times New Roman"/>
          <w:b/>
          <w:bCs/>
          <w:sz w:val="20"/>
          <w:szCs w:val="24"/>
          <w:u w:val="single"/>
        </w:rPr>
      </w:pPr>
      <w:r w:rsidRPr="00537B22">
        <w:rPr>
          <w:rFonts w:ascii="Times New Roman" w:hAnsi="Times New Roman" w:cs="Times New Roman"/>
          <w:b/>
          <w:bCs/>
          <w:sz w:val="20"/>
          <w:szCs w:val="24"/>
          <w:u w:val="single"/>
        </w:rPr>
        <w:t>Other Rel-17 rules to be revisited</w:t>
      </w:r>
    </w:p>
    <w:tbl>
      <w:tblPr>
        <w:tblW w:w="83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166E0E" w:rsidTr="00166E0E">
        <w:trPr>
          <w:trHeight w:val="665"/>
        </w:trPr>
        <w:tc>
          <w:tcPr>
            <w:tcW w:w="8357" w:type="dxa"/>
          </w:tcPr>
          <w:p w:rsidR="007B00F5" w:rsidRPr="007B00F5" w:rsidRDefault="007B00F5" w:rsidP="007B00F5">
            <w:pPr>
              <w:pStyle w:val="3"/>
              <w:widowControl/>
              <w:numPr>
                <w:ilvl w:val="2"/>
                <w:numId w:val="0"/>
              </w:numPr>
              <w:tabs>
                <w:tab w:val="left" w:pos="576"/>
                <w:tab w:val="left" w:pos="1146"/>
              </w:tabs>
              <w:spacing w:before="0" w:after="0" w:line="240" w:lineRule="auto"/>
              <w:ind w:left="720" w:hanging="720"/>
              <w:jc w:val="left"/>
              <w:rPr>
                <w:rFonts w:ascii="Times New Roman" w:hAnsi="Times New Roman" w:cs="Times New Roman"/>
                <w:b w:val="0"/>
                <w:bCs w:val="0"/>
                <w:sz w:val="20"/>
                <w:szCs w:val="20"/>
              </w:rPr>
            </w:pPr>
            <w:r w:rsidRPr="007B00F5">
              <w:rPr>
                <w:rFonts w:ascii="Times New Roman" w:hAnsi="Times New Roman" w:cs="Times New Roman"/>
                <w:b w:val="0"/>
                <w:bCs w:val="0"/>
                <w:sz w:val="20"/>
                <w:szCs w:val="20"/>
                <w:u w:val="single"/>
              </w:rPr>
              <w:t>Issue 4-4-1: [Case 2] Potential changes for NCSG upon SCell activation</w:t>
            </w:r>
          </w:p>
          <w:p w:rsidR="007B00F5" w:rsidRPr="007B00F5" w:rsidRDefault="007B00F5" w:rsidP="007B00F5">
            <w:pPr>
              <w:spacing w:afterLines="50" w:after="156"/>
              <w:ind w:leftChars="200" w:left="420"/>
              <w:rPr>
                <w:rFonts w:ascii="Times New Roman" w:hAnsi="Times New Roman" w:cs="Times New Roman"/>
                <w:sz w:val="20"/>
                <w:szCs w:val="20"/>
              </w:rPr>
            </w:pPr>
            <w:r w:rsidRPr="007B00F5">
              <w:rPr>
                <w:rFonts w:ascii="Times New Roman" w:hAnsi="Times New Roman" w:cs="Times New Roman"/>
                <w:b/>
                <w:sz w:val="20"/>
                <w:szCs w:val="20"/>
              </w:rPr>
              <w:t xml:space="preserve">&lt; </w:t>
            </w:r>
            <w:r w:rsidRPr="007B00F5">
              <w:rPr>
                <w:rFonts w:ascii="Times New Roman" w:hAnsi="Times New Roman" w:cs="Times New Roman"/>
                <w:b/>
                <w:iCs/>
                <w:sz w:val="20"/>
                <w:szCs w:val="20"/>
              </w:rPr>
              <w:t>Agreements from GTW</w:t>
            </w:r>
            <w:r w:rsidRPr="007B00F5">
              <w:rPr>
                <w:rFonts w:ascii="Times New Roman" w:hAnsi="Times New Roman" w:cs="Times New Roman"/>
                <w:b/>
                <w:sz w:val="20"/>
                <w:szCs w:val="20"/>
              </w:rPr>
              <w:t xml:space="preserve"> &gt;</w:t>
            </w:r>
            <w:r w:rsidRPr="007B00F5">
              <w:rPr>
                <w:rFonts w:ascii="Times New Roman" w:hAnsi="Times New Roman" w:cs="Times New Roman"/>
                <w:sz w:val="20"/>
                <w:szCs w:val="20"/>
              </w:rPr>
              <w:t xml:space="preserve">: </w:t>
            </w:r>
          </w:p>
          <w:p w:rsidR="007B00F5" w:rsidRPr="007B00F5" w:rsidRDefault="007B00F5" w:rsidP="007B00F5">
            <w:pPr>
              <w:pStyle w:val="a7"/>
              <w:numPr>
                <w:ilvl w:val="0"/>
                <w:numId w:val="42"/>
              </w:numPr>
              <w:overflowPunct w:val="0"/>
              <w:autoSpaceDE w:val="0"/>
              <w:autoSpaceDN w:val="0"/>
              <w:adjustRightInd w:val="0"/>
              <w:spacing w:line="252" w:lineRule="auto"/>
              <w:contextualSpacing w:val="0"/>
              <w:rPr>
                <w:sz w:val="20"/>
                <w:szCs w:val="20"/>
                <w:lang w:eastAsia="ja-JP"/>
              </w:rPr>
            </w:pPr>
            <w:r w:rsidRPr="007B00F5">
              <w:rPr>
                <w:color w:val="000000"/>
                <w:sz w:val="20"/>
                <w:szCs w:val="20"/>
              </w:rPr>
              <w:t>UE behavior for deactivated SCell measurements with NCSG in Case 2 is FFS</w:t>
            </w:r>
          </w:p>
          <w:p w:rsidR="007B00F5" w:rsidRPr="007B00F5" w:rsidRDefault="007B00F5" w:rsidP="007B00F5">
            <w:pPr>
              <w:pStyle w:val="a7"/>
              <w:numPr>
                <w:ilvl w:val="1"/>
                <w:numId w:val="42"/>
              </w:numPr>
              <w:autoSpaceDN w:val="0"/>
              <w:contextualSpacing w:val="0"/>
              <w:rPr>
                <w:color w:val="000000"/>
                <w:sz w:val="20"/>
                <w:szCs w:val="20"/>
                <w:lang w:eastAsia="zh-CN"/>
              </w:rPr>
            </w:pPr>
            <w:r w:rsidRPr="007B00F5">
              <w:rPr>
                <w:color w:val="000000"/>
                <w:sz w:val="20"/>
                <w:szCs w:val="20"/>
              </w:rPr>
              <w:t>Option 1: Legacy UE behavior (i.e. UE measures the deactivated SCell outside of MG)</w:t>
            </w:r>
          </w:p>
          <w:p w:rsidR="00166E0E" w:rsidRPr="007B00F5" w:rsidRDefault="007B00F5" w:rsidP="007B00F5">
            <w:pPr>
              <w:pStyle w:val="a7"/>
              <w:numPr>
                <w:ilvl w:val="1"/>
                <w:numId w:val="42"/>
              </w:numPr>
              <w:autoSpaceDN w:val="0"/>
              <w:contextualSpacing w:val="0"/>
              <w:rPr>
                <w:color w:val="000000"/>
              </w:rPr>
            </w:pPr>
            <w:r w:rsidRPr="007B00F5">
              <w:rPr>
                <w:color w:val="000000"/>
                <w:sz w:val="20"/>
                <w:szCs w:val="20"/>
              </w:rPr>
              <w:t>Option 2: When the SCell is deactivated, the deactivated SCell’s MO will be measured within NCSG if the SMTC is partially or fully overlapped.</w:t>
            </w:r>
          </w:p>
        </w:tc>
      </w:tr>
    </w:tbl>
    <w:p w:rsidR="001B0203" w:rsidRDefault="001B0203" w:rsidP="001B0203">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a SCell MO, if the state of SCell changes, the need for gap for this SCell MO may be different. For example, if SCell is deactivated, the deactivated SCell MO can be measured within NCSG if the SMTC is fully or partially overlapped with NCSG or without gap with interruption. If the state of the SCell is changed from deactivated to activated, the SCell MO may require gap if the SMTC is outside of the active BWP. Thus, the gap association need to be revisited for SCell MO. In our understanding, the SCell MO can be implicitly associated to NCSG when the SCell is deactivated and the SMTC of SCell is fully or partially overlapped with NCSG. And when the SCell is activated, the SCell MO is explicitly associated to the configured gap, e.g. NCSG or type-2 gap. </w:t>
      </w:r>
    </w:p>
    <w:p w:rsidR="001B0203" w:rsidRPr="001B0203" w:rsidRDefault="001B0203" w:rsidP="0083649D">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5F33FE">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sidR="005F33FE" w:rsidRPr="005F33FE">
        <w:rPr>
          <w:rFonts w:ascii="Times New Roman" w:hAnsi="Times New Roman" w:cs="Times New Roman"/>
          <w:b/>
          <w:sz w:val="20"/>
          <w:szCs w:val="20"/>
          <w:lang w:val="en-GB"/>
        </w:rPr>
        <w:t>When the SCell is deactivated, the deactivated SCell’s MO will be measured within NCSG if the SMTC i</w:t>
      </w:r>
      <w:r w:rsidR="005F33FE">
        <w:rPr>
          <w:rFonts w:ascii="Times New Roman" w:hAnsi="Times New Roman" w:cs="Times New Roman"/>
          <w:b/>
          <w:sz w:val="20"/>
          <w:szCs w:val="20"/>
          <w:lang w:val="en-GB"/>
        </w:rPr>
        <w:t>s partially or fully overlapped</w:t>
      </w:r>
      <w:r w:rsidR="00D038CA">
        <w:rPr>
          <w:rFonts w:ascii="Times New Roman" w:hAnsi="Times New Roman" w:cs="Times New Roman"/>
          <w:b/>
          <w:sz w:val="20"/>
          <w:szCs w:val="20"/>
          <w:lang w:val="en-GB"/>
        </w:rPr>
        <w:t xml:space="preserve"> with NCSG</w:t>
      </w:r>
      <w:r w:rsidRPr="005300DA">
        <w:rPr>
          <w:rFonts w:ascii="Times New Roman" w:hAnsi="Times New Roman" w:cs="Times New Roman"/>
          <w:b/>
          <w:sz w:val="20"/>
          <w:szCs w:val="20"/>
          <w:lang w:val="en-GB"/>
        </w:rPr>
        <w:t>.</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B15332">
      <w:pPr>
        <w:ind w:left="100" w:hangingChars="50" w:hanging="100"/>
        <w:rPr>
          <w:rFonts w:ascii="Times New Roman" w:hAnsi="Times New Roman" w:cs="Times New Roman"/>
          <w:sz w:val="20"/>
          <w:szCs w:val="20"/>
        </w:rPr>
      </w:pPr>
      <w:r>
        <w:rPr>
          <w:rFonts w:ascii="Times New Roman" w:hAnsi="Times New Roman" w:cs="Times New Roman"/>
          <w:sz w:val="20"/>
          <w:szCs w:val="20"/>
        </w:rPr>
        <w:t xml:space="preserve">In this contribution, we discuss the related requirements for </w:t>
      </w:r>
      <w:r w:rsidR="00CC5930">
        <w:rPr>
          <w:rFonts w:ascii="Times New Roman" w:hAnsi="Times New Roman" w:cs="Times New Roman"/>
          <w:sz w:val="20"/>
          <w:szCs w:val="20"/>
        </w:rPr>
        <w:t>case 2</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D96FAD" w:rsidRPr="00AE52E9" w:rsidRDefault="00D96FAD" w:rsidP="00D96FAD">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not to consider the parallel measurement upon gap collision</w:t>
      </w:r>
      <w:r w:rsidRPr="00051822">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D96FAD" w:rsidRPr="007B00F5" w:rsidRDefault="00D96FAD" w:rsidP="00D96FAD">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not to support parallel measurement upon NCSGs collision in scenario 1/2/3</w:t>
      </w:r>
      <w:r w:rsidRPr="00051822">
        <w:rPr>
          <w:rFonts w:ascii="Times New Roman" w:hAnsi="Times New Roman" w:cs="Times New Roman"/>
          <w:b/>
          <w:sz w:val="20"/>
          <w:szCs w:val="20"/>
          <w:lang w:val="en-GB"/>
        </w:rPr>
        <w:t>.</w:t>
      </w:r>
    </w:p>
    <w:p w:rsidR="00D96FAD" w:rsidRDefault="00D96FAD" w:rsidP="00D96FAD">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RAN4 to introduce a new UE capability to support</w:t>
      </w:r>
      <w:r w:rsidRPr="0083649D">
        <w:rPr>
          <w:rFonts w:ascii="Times New Roman" w:hAnsi="Times New Roman" w:cs="Times New Roman"/>
          <w:b/>
          <w:sz w:val="20"/>
          <w:szCs w:val="20"/>
          <w:lang w:val="en-GB"/>
        </w:rPr>
        <w:t xml:space="preserve"> the combination of NCSG + NCSG </w:t>
      </w:r>
      <w:r>
        <w:rPr>
          <w:rFonts w:ascii="Times New Roman" w:hAnsi="Times New Roman" w:cs="Times New Roman"/>
          <w:b/>
          <w:sz w:val="20"/>
          <w:szCs w:val="20"/>
          <w:lang w:val="en-GB"/>
        </w:rPr>
        <w:t>in an FR.</w:t>
      </w:r>
    </w:p>
    <w:p w:rsidR="00D96FAD" w:rsidRPr="001B0203" w:rsidRDefault="00D96FAD" w:rsidP="00D96FAD">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sidRPr="005F33FE">
        <w:rPr>
          <w:rFonts w:ascii="Times New Roman" w:hAnsi="Times New Roman" w:cs="Times New Roman"/>
          <w:b/>
          <w:sz w:val="20"/>
          <w:szCs w:val="20"/>
          <w:lang w:val="en-GB"/>
        </w:rPr>
        <w:t>When the SCell is deactivated, the deactivated SCell’s MO will be measured within NCSG if the SMTC i</w:t>
      </w:r>
      <w:r>
        <w:rPr>
          <w:rFonts w:ascii="Times New Roman" w:hAnsi="Times New Roman" w:cs="Times New Roman"/>
          <w:b/>
          <w:sz w:val="20"/>
          <w:szCs w:val="20"/>
          <w:lang w:val="en-GB"/>
        </w:rPr>
        <w:t>s partially or fully overlapped with NCSG</w:t>
      </w:r>
      <w:r w:rsidRPr="005300DA">
        <w:rPr>
          <w:rFonts w:ascii="Times New Roman" w:hAnsi="Times New Roman" w:cs="Times New Roman"/>
          <w:b/>
          <w:sz w:val="20"/>
          <w:szCs w:val="20"/>
          <w:lang w:val="en-GB"/>
        </w:rPr>
        <w:t>.</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r>
      <w:r w:rsidR="00C23F3B">
        <w:rPr>
          <w:rFonts w:ascii="Times New Roman" w:hAnsi="Times New Roman" w:cs="Times New Roman"/>
          <w:sz w:val="20"/>
          <w:szCs w:val="20"/>
        </w:rPr>
        <w:t>R4-</w:t>
      </w:r>
      <w:r w:rsidR="00C23F3B" w:rsidRPr="00B4674D">
        <w:rPr>
          <w:rFonts w:ascii="Times New Roman" w:hAnsi="Times New Roman" w:cs="Times New Roman"/>
          <w:sz w:val="20"/>
          <w:szCs w:val="20"/>
        </w:rPr>
        <w:t>230</w:t>
      </w:r>
      <w:r w:rsidR="00991230">
        <w:rPr>
          <w:rFonts w:ascii="Times New Roman" w:hAnsi="Times New Roman" w:cs="Times New Roman"/>
          <w:sz w:val="20"/>
          <w:szCs w:val="20"/>
        </w:rPr>
        <w:t>6330</w:t>
      </w:r>
      <w:r w:rsidR="00C23F3B">
        <w:rPr>
          <w:rFonts w:ascii="Times New Roman" w:hAnsi="Times New Roman" w:cs="Times New Roman"/>
          <w:sz w:val="20"/>
          <w:szCs w:val="20"/>
        </w:rPr>
        <w:tab/>
      </w:r>
      <w:r w:rsidR="00C23F3B" w:rsidRPr="00B4674D">
        <w:rPr>
          <w:rFonts w:ascii="Times New Roman" w:hAnsi="Times New Roman" w:cs="Times New Roman"/>
          <w:sz w:val="20"/>
          <w:szCs w:val="20"/>
        </w:rPr>
        <w:t>WF on Rel-18 NR MG enhancements</w:t>
      </w:r>
      <w:r w:rsidR="00C23F3B">
        <w:rPr>
          <w:rFonts w:ascii="Times New Roman" w:hAnsi="Times New Roman" w:cs="Times New Roman"/>
          <w:sz w:val="20"/>
          <w:szCs w:val="20"/>
        </w:rPr>
        <w:t>,</w:t>
      </w:r>
      <w:r w:rsidR="00C23F3B">
        <w:rPr>
          <w:rFonts w:ascii="Times New Roman" w:hAnsi="Times New Roman" w:cs="Times New Roman"/>
          <w:sz w:val="20"/>
          <w:szCs w:val="20"/>
        </w:rPr>
        <w:tab/>
        <w:t>MediaTek Inc</w:t>
      </w:r>
    </w:p>
    <w:p w:rsidR="008631DC" w:rsidRPr="00D851E7" w:rsidRDefault="008631DC" w:rsidP="00B15332">
      <w:pPr>
        <w:rPr>
          <w:rFonts w:ascii="Times New Roman" w:hAnsi="Times New Roman" w:cs="Times New Roman"/>
          <w:sz w:val="20"/>
          <w:szCs w:val="20"/>
        </w:rPr>
      </w:pPr>
    </w:p>
    <w:sectPr w:rsidR="008631DC" w:rsidRPr="00D851E7"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8BD" w:rsidRDefault="004028BD" w:rsidP="0054389C">
      <w:r>
        <w:separator/>
      </w:r>
    </w:p>
  </w:endnote>
  <w:endnote w:type="continuationSeparator" w:id="0">
    <w:p w:rsidR="004028BD" w:rsidRDefault="004028BD"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8BD" w:rsidRDefault="004028BD" w:rsidP="0054389C">
      <w:r>
        <w:separator/>
      </w:r>
    </w:p>
  </w:footnote>
  <w:footnote w:type="continuationSeparator" w:id="0">
    <w:p w:rsidR="004028BD" w:rsidRDefault="004028BD"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3E0AEA"/>
    <w:multiLevelType w:val="hybridMultilevel"/>
    <w:tmpl w:val="BB82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0"/>
  </w:num>
  <w:num w:numId="3">
    <w:abstractNumId w:val="8"/>
  </w:num>
  <w:num w:numId="4">
    <w:abstractNumId w:val="7"/>
  </w:num>
  <w:num w:numId="5">
    <w:abstractNumId w:val="22"/>
  </w:num>
  <w:num w:numId="6">
    <w:abstractNumId w:val="27"/>
  </w:num>
  <w:num w:numId="7">
    <w:abstractNumId w:val="4"/>
  </w:num>
  <w:num w:numId="8">
    <w:abstractNumId w:val="12"/>
  </w:num>
  <w:num w:numId="9">
    <w:abstractNumId w:val="14"/>
  </w:num>
  <w:num w:numId="10">
    <w:abstractNumId w:val="9"/>
  </w:num>
  <w:num w:numId="11">
    <w:abstractNumId w:val="29"/>
  </w:num>
  <w:num w:numId="12">
    <w:abstractNumId w:val="21"/>
  </w:num>
  <w:num w:numId="13">
    <w:abstractNumId w:val="19"/>
  </w:num>
  <w:num w:numId="14">
    <w:abstractNumId w:val="36"/>
  </w:num>
  <w:num w:numId="15">
    <w:abstractNumId w:val="13"/>
  </w:num>
  <w:num w:numId="16">
    <w:abstractNumId w:val="35"/>
  </w:num>
  <w:num w:numId="17">
    <w:abstractNumId w:val="6"/>
  </w:num>
  <w:num w:numId="18">
    <w:abstractNumId w:val="24"/>
  </w:num>
  <w:num w:numId="19">
    <w:abstractNumId w:val="33"/>
  </w:num>
  <w:num w:numId="20">
    <w:abstractNumId w:val="18"/>
  </w:num>
  <w:num w:numId="21">
    <w:abstractNumId w:val="2"/>
  </w:num>
  <w:num w:numId="22">
    <w:abstractNumId w:val="16"/>
  </w:num>
  <w:num w:numId="23">
    <w:abstractNumId w:val="34"/>
  </w:num>
  <w:num w:numId="24">
    <w:abstractNumId w:val="25"/>
  </w:num>
  <w:num w:numId="25">
    <w:abstractNumId w:val="28"/>
  </w:num>
  <w:num w:numId="26">
    <w:abstractNumId w:val="40"/>
  </w:num>
  <w:num w:numId="27">
    <w:abstractNumId w:val="10"/>
  </w:num>
  <w:num w:numId="28">
    <w:abstractNumId w:val="3"/>
  </w:num>
  <w:num w:numId="29">
    <w:abstractNumId w:val="1"/>
  </w:num>
  <w:num w:numId="30">
    <w:abstractNumId w:val="11"/>
  </w:num>
  <w:num w:numId="31">
    <w:abstractNumId w:val="5"/>
  </w:num>
  <w:num w:numId="32">
    <w:abstractNumId w:val="15"/>
  </w:num>
  <w:num w:numId="33">
    <w:abstractNumId w:val="38"/>
  </w:num>
  <w:num w:numId="34">
    <w:abstractNumId w:val="23"/>
  </w:num>
  <w:num w:numId="35">
    <w:abstractNumId w:val="32"/>
  </w:num>
  <w:num w:numId="36">
    <w:abstractNumId w:val="32"/>
  </w:num>
  <w:num w:numId="37">
    <w:abstractNumId w:val="32"/>
  </w:num>
  <w:num w:numId="38">
    <w:abstractNumId w:val="20"/>
  </w:num>
  <w:num w:numId="39">
    <w:abstractNumId w:val="37"/>
  </w:num>
  <w:num w:numId="40">
    <w:abstractNumId w:val="31"/>
  </w:num>
  <w:num w:numId="41">
    <w:abstractNumId w:val="17"/>
  </w:num>
  <w:num w:numId="42">
    <w:abstractNumId w:val="39"/>
  </w:num>
  <w:num w:numId="43">
    <w:abstractNumId w:val="26"/>
  </w:num>
  <w:num w:numId="44">
    <w:abstractNumId w:val="0"/>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44E5"/>
    <w:rsid w:val="0000685E"/>
    <w:rsid w:val="000158D0"/>
    <w:rsid w:val="00015C3C"/>
    <w:rsid w:val="00016088"/>
    <w:rsid w:val="00016727"/>
    <w:rsid w:val="00024DE8"/>
    <w:rsid w:val="0002546B"/>
    <w:rsid w:val="0002705A"/>
    <w:rsid w:val="00034A97"/>
    <w:rsid w:val="00035A44"/>
    <w:rsid w:val="00051822"/>
    <w:rsid w:val="000645C7"/>
    <w:rsid w:val="00070463"/>
    <w:rsid w:val="000716C6"/>
    <w:rsid w:val="00072D64"/>
    <w:rsid w:val="00077D39"/>
    <w:rsid w:val="000823B4"/>
    <w:rsid w:val="000B347F"/>
    <w:rsid w:val="000B3B28"/>
    <w:rsid w:val="000C69EA"/>
    <w:rsid w:val="000D163E"/>
    <w:rsid w:val="000D352F"/>
    <w:rsid w:val="000D5572"/>
    <w:rsid w:val="000D5EF8"/>
    <w:rsid w:val="000F428C"/>
    <w:rsid w:val="000F6FE6"/>
    <w:rsid w:val="00101ACC"/>
    <w:rsid w:val="001260EF"/>
    <w:rsid w:val="00127301"/>
    <w:rsid w:val="00135B54"/>
    <w:rsid w:val="001452D7"/>
    <w:rsid w:val="001478E9"/>
    <w:rsid w:val="00155341"/>
    <w:rsid w:val="0015540D"/>
    <w:rsid w:val="0016362E"/>
    <w:rsid w:val="001644B9"/>
    <w:rsid w:val="0016695D"/>
    <w:rsid w:val="00166E0E"/>
    <w:rsid w:val="00167860"/>
    <w:rsid w:val="0017492E"/>
    <w:rsid w:val="001754BF"/>
    <w:rsid w:val="0017577F"/>
    <w:rsid w:val="001800C7"/>
    <w:rsid w:val="0018503A"/>
    <w:rsid w:val="00185C2B"/>
    <w:rsid w:val="00187ADE"/>
    <w:rsid w:val="001907FE"/>
    <w:rsid w:val="001950FB"/>
    <w:rsid w:val="00195347"/>
    <w:rsid w:val="001A0C83"/>
    <w:rsid w:val="001A1790"/>
    <w:rsid w:val="001A3696"/>
    <w:rsid w:val="001B0203"/>
    <w:rsid w:val="001B0585"/>
    <w:rsid w:val="001B142A"/>
    <w:rsid w:val="001B14F3"/>
    <w:rsid w:val="001B6E2C"/>
    <w:rsid w:val="001C641D"/>
    <w:rsid w:val="001C6C9A"/>
    <w:rsid w:val="001D0568"/>
    <w:rsid w:val="001D0D2B"/>
    <w:rsid w:val="001D2134"/>
    <w:rsid w:val="001D25D7"/>
    <w:rsid w:val="001D47AE"/>
    <w:rsid w:val="001D72FE"/>
    <w:rsid w:val="001E53B1"/>
    <w:rsid w:val="001E5A5D"/>
    <w:rsid w:val="001E6E43"/>
    <w:rsid w:val="001F2348"/>
    <w:rsid w:val="00200158"/>
    <w:rsid w:val="00203D4A"/>
    <w:rsid w:val="00205754"/>
    <w:rsid w:val="00213D03"/>
    <w:rsid w:val="00214892"/>
    <w:rsid w:val="0022457F"/>
    <w:rsid w:val="002308E2"/>
    <w:rsid w:val="002316C3"/>
    <w:rsid w:val="00235DBD"/>
    <w:rsid w:val="00242135"/>
    <w:rsid w:val="00243B02"/>
    <w:rsid w:val="00245A4E"/>
    <w:rsid w:val="00246ADE"/>
    <w:rsid w:val="002647F2"/>
    <w:rsid w:val="00265CD5"/>
    <w:rsid w:val="00280D74"/>
    <w:rsid w:val="00281A5A"/>
    <w:rsid w:val="00290653"/>
    <w:rsid w:val="00294705"/>
    <w:rsid w:val="002B0A87"/>
    <w:rsid w:val="002B6210"/>
    <w:rsid w:val="002B652F"/>
    <w:rsid w:val="002B7E31"/>
    <w:rsid w:val="002D018A"/>
    <w:rsid w:val="002E189F"/>
    <w:rsid w:val="002E3574"/>
    <w:rsid w:val="002E64BA"/>
    <w:rsid w:val="002F6F34"/>
    <w:rsid w:val="003009F3"/>
    <w:rsid w:val="00305381"/>
    <w:rsid w:val="0031381D"/>
    <w:rsid w:val="00313E94"/>
    <w:rsid w:val="00324A56"/>
    <w:rsid w:val="00324CCC"/>
    <w:rsid w:val="003254DA"/>
    <w:rsid w:val="0032715E"/>
    <w:rsid w:val="00330185"/>
    <w:rsid w:val="003329CE"/>
    <w:rsid w:val="00332A59"/>
    <w:rsid w:val="00335825"/>
    <w:rsid w:val="0035479D"/>
    <w:rsid w:val="00363A14"/>
    <w:rsid w:val="003700E4"/>
    <w:rsid w:val="003702DA"/>
    <w:rsid w:val="00370DBF"/>
    <w:rsid w:val="0038659C"/>
    <w:rsid w:val="003A4170"/>
    <w:rsid w:val="003A4595"/>
    <w:rsid w:val="003A4A9D"/>
    <w:rsid w:val="003B6133"/>
    <w:rsid w:val="003B78F5"/>
    <w:rsid w:val="003D2B1A"/>
    <w:rsid w:val="003D3206"/>
    <w:rsid w:val="003D3A49"/>
    <w:rsid w:val="003E1EB2"/>
    <w:rsid w:val="003E6CF6"/>
    <w:rsid w:val="003E764D"/>
    <w:rsid w:val="003F6FCE"/>
    <w:rsid w:val="004028BD"/>
    <w:rsid w:val="00402CEB"/>
    <w:rsid w:val="0041525E"/>
    <w:rsid w:val="00416279"/>
    <w:rsid w:val="004230BF"/>
    <w:rsid w:val="00431676"/>
    <w:rsid w:val="004407DF"/>
    <w:rsid w:val="00460AAF"/>
    <w:rsid w:val="00467C66"/>
    <w:rsid w:val="0047173D"/>
    <w:rsid w:val="004718D4"/>
    <w:rsid w:val="00471AA1"/>
    <w:rsid w:val="00480411"/>
    <w:rsid w:val="00485068"/>
    <w:rsid w:val="0048645C"/>
    <w:rsid w:val="0049439B"/>
    <w:rsid w:val="004A2AFD"/>
    <w:rsid w:val="004A351E"/>
    <w:rsid w:val="004A3F2B"/>
    <w:rsid w:val="004B451B"/>
    <w:rsid w:val="004C222C"/>
    <w:rsid w:val="004D00B7"/>
    <w:rsid w:val="004D08CB"/>
    <w:rsid w:val="004D26E8"/>
    <w:rsid w:val="004D4C80"/>
    <w:rsid w:val="004D6569"/>
    <w:rsid w:val="004E0C32"/>
    <w:rsid w:val="004E2808"/>
    <w:rsid w:val="004E2E67"/>
    <w:rsid w:val="004E306E"/>
    <w:rsid w:val="004E48DA"/>
    <w:rsid w:val="004E6D1C"/>
    <w:rsid w:val="004F4A70"/>
    <w:rsid w:val="00505332"/>
    <w:rsid w:val="005218FD"/>
    <w:rsid w:val="005248BF"/>
    <w:rsid w:val="005300DA"/>
    <w:rsid w:val="00537B22"/>
    <w:rsid w:val="00543855"/>
    <w:rsid w:val="0054389C"/>
    <w:rsid w:val="00545812"/>
    <w:rsid w:val="00562DFE"/>
    <w:rsid w:val="00563C8B"/>
    <w:rsid w:val="00566B7A"/>
    <w:rsid w:val="00570005"/>
    <w:rsid w:val="0057452F"/>
    <w:rsid w:val="0057736B"/>
    <w:rsid w:val="0059161C"/>
    <w:rsid w:val="005A7A53"/>
    <w:rsid w:val="005A7E7C"/>
    <w:rsid w:val="005B210E"/>
    <w:rsid w:val="005B3CDF"/>
    <w:rsid w:val="005B4847"/>
    <w:rsid w:val="005C1A59"/>
    <w:rsid w:val="005C4114"/>
    <w:rsid w:val="005C6153"/>
    <w:rsid w:val="005C6720"/>
    <w:rsid w:val="005C6FA4"/>
    <w:rsid w:val="005D0746"/>
    <w:rsid w:val="005F33FE"/>
    <w:rsid w:val="005F4590"/>
    <w:rsid w:val="005F53F5"/>
    <w:rsid w:val="005F5B24"/>
    <w:rsid w:val="005F6DF7"/>
    <w:rsid w:val="006068C7"/>
    <w:rsid w:val="006113D2"/>
    <w:rsid w:val="00611B19"/>
    <w:rsid w:val="006142E8"/>
    <w:rsid w:val="00615A48"/>
    <w:rsid w:val="006165ED"/>
    <w:rsid w:val="006214B2"/>
    <w:rsid w:val="006241B7"/>
    <w:rsid w:val="00630344"/>
    <w:rsid w:val="0063093D"/>
    <w:rsid w:val="006367AB"/>
    <w:rsid w:val="006368BE"/>
    <w:rsid w:val="0064419F"/>
    <w:rsid w:val="00652D79"/>
    <w:rsid w:val="006602E7"/>
    <w:rsid w:val="0066419E"/>
    <w:rsid w:val="006733D6"/>
    <w:rsid w:val="006803DB"/>
    <w:rsid w:val="00680FF7"/>
    <w:rsid w:val="00685EFE"/>
    <w:rsid w:val="00687E6B"/>
    <w:rsid w:val="006925E1"/>
    <w:rsid w:val="006A69F0"/>
    <w:rsid w:val="006C49CF"/>
    <w:rsid w:val="006D7986"/>
    <w:rsid w:val="006E04B2"/>
    <w:rsid w:val="006E5F38"/>
    <w:rsid w:val="006E6641"/>
    <w:rsid w:val="006F190C"/>
    <w:rsid w:val="007000C2"/>
    <w:rsid w:val="007039C2"/>
    <w:rsid w:val="00704E0D"/>
    <w:rsid w:val="007070F1"/>
    <w:rsid w:val="0071718E"/>
    <w:rsid w:val="00717E1B"/>
    <w:rsid w:val="007213C7"/>
    <w:rsid w:val="00723874"/>
    <w:rsid w:val="00724931"/>
    <w:rsid w:val="0072507A"/>
    <w:rsid w:val="00731CC2"/>
    <w:rsid w:val="007422A0"/>
    <w:rsid w:val="00745132"/>
    <w:rsid w:val="00752A0E"/>
    <w:rsid w:val="0075409F"/>
    <w:rsid w:val="00762B01"/>
    <w:rsid w:val="007673A6"/>
    <w:rsid w:val="0076771B"/>
    <w:rsid w:val="00774CC0"/>
    <w:rsid w:val="00775CBB"/>
    <w:rsid w:val="00780CF0"/>
    <w:rsid w:val="00780FFB"/>
    <w:rsid w:val="0078135A"/>
    <w:rsid w:val="00785A7D"/>
    <w:rsid w:val="00792951"/>
    <w:rsid w:val="007962F9"/>
    <w:rsid w:val="00796C18"/>
    <w:rsid w:val="007978E0"/>
    <w:rsid w:val="007A2296"/>
    <w:rsid w:val="007B00F5"/>
    <w:rsid w:val="007C16D2"/>
    <w:rsid w:val="007D2905"/>
    <w:rsid w:val="007F5703"/>
    <w:rsid w:val="0080081A"/>
    <w:rsid w:val="0080162C"/>
    <w:rsid w:val="00803D9E"/>
    <w:rsid w:val="00820160"/>
    <w:rsid w:val="008215CA"/>
    <w:rsid w:val="0082167B"/>
    <w:rsid w:val="00824894"/>
    <w:rsid w:val="00836272"/>
    <w:rsid w:val="0083649D"/>
    <w:rsid w:val="00841157"/>
    <w:rsid w:val="00841D35"/>
    <w:rsid w:val="008630DE"/>
    <w:rsid w:val="008631DC"/>
    <w:rsid w:val="00873E40"/>
    <w:rsid w:val="00876707"/>
    <w:rsid w:val="00881241"/>
    <w:rsid w:val="008827F1"/>
    <w:rsid w:val="00883B49"/>
    <w:rsid w:val="0089303E"/>
    <w:rsid w:val="00893262"/>
    <w:rsid w:val="00896E69"/>
    <w:rsid w:val="008A347A"/>
    <w:rsid w:val="008A6635"/>
    <w:rsid w:val="008A7B39"/>
    <w:rsid w:val="008A7CA1"/>
    <w:rsid w:val="008C3B63"/>
    <w:rsid w:val="008D005F"/>
    <w:rsid w:val="008D26B8"/>
    <w:rsid w:val="008D6E7B"/>
    <w:rsid w:val="008F3AB1"/>
    <w:rsid w:val="008F4CD1"/>
    <w:rsid w:val="0090090C"/>
    <w:rsid w:val="009009A0"/>
    <w:rsid w:val="00914480"/>
    <w:rsid w:val="00923785"/>
    <w:rsid w:val="00927F9D"/>
    <w:rsid w:val="009509D5"/>
    <w:rsid w:val="00951C40"/>
    <w:rsid w:val="00963006"/>
    <w:rsid w:val="00963620"/>
    <w:rsid w:val="00964B17"/>
    <w:rsid w:val="009650A8"/>
    <w:rsid w:val="009847E0"/>
    <w:rsid w:val="009852F7"/>
    <w:rsid w:val="00991230"/>
    <w:rsid w:val="00992345"/>
    <w:rsid w:val="00997C51"/>
    <w:rsid w:val="009A39AF"/>
    <w:rsid w:val="009A4F19"/>
    <w:rsid w:val="009A5201"/>
    <w:rsid w:val="009A7035"/>
    <w:rsid w:val="009B205D"/>
    <w:rsid w:val="009C4366"/>
    <w:rsid w:val="009E04F6"/>
    <w:rsid w:val="009F152F"/>
    <w:rsid w:val="009F680C"/>
    <w:rsid w:val="00A11EC7"/>
    <w:rsid w:val="00A16533"/>
    <w:rsid w:val="00A2027E"/>
    <w:rsid w:val="00A22990"/>
    <w:rsid w:val="00A276D7"/>
    <w:rsid w:val="00A33A69"/>
    <w:rsid w:val="00A3606C"/>
    <w:rsid w:val="00A44F96"/>
    <w:rsid w:val="00A553DB"/>
    <w:rsid w:val="00A56AA6"/>
    <w:rsid w:val="00A56E6D"/>
    <w:rsid w:val="00A63B54"/>
    <w:rsid w:val="00A65F12"/>
    <w:rsid w:val="00A72117"/>
    <w:rsid w:val="00A80D5B"/>
    <w:rsid w:val="00A855D3"/>
    <w:rsid w:val="00A87F64"/>
    <w:rsid w:val="00A91AED"/>
    <w:rsid w:val="00A938DB"/>
    <w:rsid w:val="00A968A5"/>
    <w:rsid w:val="00AA4AB5"/>
    <w:rsid w:val="00AB52AA"/>
    <w:rsid w:val="00AB738F"/>
    <w:rsid w:val="00AC175E"/>
    <w:rsid w:val="00AC18ED"/>
    <w:rsid w:val="00AC19BA"/>
    <w:rsid w:val="00AC68BC"/>
    <w:rsid w:val="00AD3C84"/>
    <w:rsid w:val="00AE52E9"/>
    <w:rsid w:val="00AF3D27"/>
    <w:rsid w:val="00AF6FB1"/>
    <w:rsid w:val="00B03C1E"/>
    <w:rsid w:val="00B148C0"/>
    <w:rsid w:val="00B15332"/>
    <w:rsid w:val="00B22C85"/>
    <w:rsid w:val="00B236AD"/>
    <w:rsid w:val="00B24E9C"/>
    <w:rsid w:val="00B25431"/>
    <w:rsid w:val="00B27573"/>
    <w:rsid w:val="00B37C0A"/>
    <w:rsid w:val="00B4430F"/>
    <w:rsid w:val="00B4742F"/>
    <w:rsid w:val="00B55908"/>
    <w:rsid w:val="00B758E0"/>
    <w:rsid w:val="00B763EE"/>
    <w:rsid w:val="00B76E6F"/>
    <w:rsid w:val="00B82D86"/>
    <w:rsid w:val="00B871E7"/>
    <w:rsid w:val="00B877C2"/>
    <w:rsid w:val="00B87C96"/>
    <w:rsid w:val="00B9248B"/>
    <w:rsid w:val="00B9324E"/>
    <w:rsid w:val="00B94691"/>
    <w:rsid w:val="00B9653E"/>
    <w:rsid w:val="00B96D2F"/>
    <w:rsid w:val="00BA0ADE"/>
    <w:rsid w:val="00BA173C"/>
    <w:rsid w:val="00BB365B"/>
    <w:rsid w:val="00BC06A8"/>
    <w:rsid w:val="00BD4D65"/>
    <w:rsid w:val="00BE1A90"/>
    <w:rsid w:val="00BE3F60"/>
    <w:rsid w:val="00BF3D60"/>
    <w:rsid w:val="00BF58DB"/>
    <w:rsid w:val="00C032FD"/>
    <w:rsid w:val="00C116C7"/>
    <w:rsid w:val="00C13829"/>
    <w:rsid w:val="00C13FAF"/>
    <w:rsid w:val="00C21AD5"/>
    <w:rsid w:val="00C21ECC"/>
    <w:rsid w:val="00C23F3B"/>
    <w:rsid w:val="00C26A62"/>
    <w:rsid w:val="00C3220A"/>
    <w:rsid w:val="00C43AAE"/>
    <w:rsid w:val="00C4446F"/>
    <w:rsid w:val="00C46BC7"/>
    <w:rsid w:val="00C517ED"/>
    <w:rsid w:val="00C5470E"/>
    <w:rsid w:val="00C60F32"/>
    <w:rsid w:val="00C75E33"/>
    <w:rsid w:val="00C818FA"/>
    <w:rsid w:val="00CA279C"/>
    <w:rsid w:val="00CC4F79"/>
    <w:rsid w:val="00CC5930"/>
    <w:rsid w:val="00CD1D0C"/>
    <w:rsid w:val="00CD4A10"/>
    <w:rsid w:val="00CE11B3"/>
    <w:rsid w:val="00CE3D40"/>
    <w:rsid w:val="00CE747B"/>
    <w:rsid w:val="00CF0440"/>
    <w:rsid w:val="00CF2402"/>
    <w:rsid w:val="00CF38F8"/>
    <w:rsid w:val="00CF6CE4"/>
    <w:rsid w:val="00D038CA"/>
    <w:rsid w:val="00D04330"/>
    <w:rsid w:val="00D11874"/>
    <w:rsid w:val="00D222EE"/>
    <w:rsid w:val="00D30BD4"/>
    <w:rsid w:val="00D357FD"/>
    <w:rsid w:val="00D4283A"/>
    <w:rsid w:val="00D4585C"/>
    <w:rsid w:val="00D478B9"/>
    <w:rsid w:val="00D522CA"/>
    <w:rsid w:val="00D52CF3"/>
    <w:rsid w:val="00D5302D"/>
    <w:rsid w:val="00D54011"/>
    <w:rsid w:val="00D554C9"/>
    <w:rsid w:val="00D6332E"/>
    <w:rsid w:val="00D64D77"/>
    <w:rsid w:val="00D652BD"/>
    <w:rsid w:val="00D72D48"/>
    <w:rsid w:val="00D77DD1"/>
    <w:rsid w:val="00D80C09"/>
    <w:rsid w:val="00D81433"/>
    <w:rsid w:val="00D82DEC"/>
    <w:rsid w:val="00D851E7"/>
    <w:rsid w:val="00D92E42"/>
    <w:rsid w:val="00D9347C"/>
    <w:rsid w:val="00D96FAD"/>
    <w:rsid w:val="00D9704C"/>
    <w:rsid w:val="00D97A9F"/>
    <w:rsid w:val="00DA6DD1"/>
    <w:rsid w:val="00DB2BE3"/>
    <w:rsid w:val="00DB41D3"/>
    <w:rsid w:val="00DB6756"/>
    <w:rsid w:val="00DB6C34"/>
    <w:rsid w:val="00DC2C34"/>
    <w:rsid w:val="00DD1C2A"/>
    <w:rsid w:val="00DD2A2B"/>
    <w:rsid w:val="00DD320A"/>
    <w:rsid w:val="00DE3D3B"/>
    <w:rsid w:val="00DF3A0A"/>
    <w:rsid w:val="00DF6BEA"/>
    <w:rsid w:val="00E01E1C"/>
    <w:rsid w:val="00E073FD"/>
    <w:rsid w:val="00E1291C"/>
    <w:rsid w:val="00E17100"/>
    <w:rsid w:val="00E22AFE"/>
    <w:rsid w:val="00E22C6D"/>
    <w:rsid w:val="00E31770"/>
    <w:rsid w:val="00E34795"/>
    <w:rsid w:val="00E34DC9"/>
    <w:rsid w:val="00E44384"/>
    <w:rsid w:val="00E56DBA"/>
    <w:rsid w:val="00E60F11"/>
    <w:rsid w:val="00E70C68"/>
    <w:rsid w:val="00E74179"/>
    <w:rsid w:val="00E80307"/>
    <w:rsid w:val="00E837E8"/>
    <w:rsid w:val="00E83CB4"/>
    <w:rsid w:val="00E84287"/>
    <w:rsid w:val="00E84ABF"/>
    <w:rsid w:val="00E87B0B"/>
    <w:rsid w:val="00E913CF"/>
    <w:rsid w:val="00E92811"/>
    <w:rsid w:val="00E95DD2"/>
    <w:rsid w:val="00EA3D78"/>
    <w:rsid w:val="00EA75AF"/>
    <w:rsid w:val="00EC01FF"/>
    <w:rsid w:val="00EC1568"/>
    <w:rsid w:val="00EC4372"/>
    <w:rsid w:val="00EC5D81"/>
    <w:rsid w:val="00ED0473"/>
    <w:rsid w:val="00ED793E"/>
    <w:rsid w:val="00EE11F7"/>
    <w:rsid w:val="00EF1C76"/>
    <w:rsid w:val="00EF26E7"/>
    <w:rsid w:val="00EF6546"/>
    <w:rsid w:val="00EF7E88"/>
    <w:rsid w:val="00F03B58"/>
    <w:rsid w:val="00F24C4C"/>
    <w:rsid w:val="00F255DC"/>
    <w:rsid w:val="00F26184"/>
    <w:rsid w:val="00F301DE"/>
    <w:rsid w:val="00F42BB7"/>
    <w:rsid w:val="00F4418F"/>
    <w:rsid w:val="00F51558"/>
    <w:rsid w:val="00F53185"/>
    <w:rsid w:val="00F54C38"/>
    <w:rsid w:val="00F553CF"/>
    <w:rsid w:val="00F6033B"/>
    <w:rsid w:val="00F81DBD"/>
    <w:rsid w:val="00F855B9"/>
    <w:rsid w:val="00F91F61"/>
    <w:rsid w:val="00FA634C"/>
    <w:rsid w:val="00FA7503"/>
    <w:rsid w:val="00FB2E57"/>
    <w:rsid w:val="00FC2171"/>
    <w:rsid w:val="00FD00E4"/>
    <w:rsid w:val="00FD62EF"/>
    <w:rsid w:val="00FE10A3"/>
    <w:rsid w:val="00FE5EF1"/>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8E61D"/>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清單段落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D3C52-4F4C-4323-B6B7-9980903C2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10377</TotalTime>
  <Pages>3</Pages>
  <Words>915</Words>
  <Characters>5219</Characters>
  <Application>Microsoft Office Word</Application>
  <DocSecurity>0</DocSecurity>
  <Lines>43</Lines>
  <Paragraphs>12</Paragraphs>
  <ScaleCrop>false</ScaleCrop>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174</cp:revision>
  <dcterms:created xsi:type="dcterms:W3CDTF">2021-01-14T12:11:00Z</dcterms:created>
  <dcterms:modified xsi:type="dcterms:W3CDTF">2023-05-15T11:50:00Z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